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C7165D" w:rsidRDefault="006816EC">
            <w:pPr>
              <w:jc w:val="both"/>
              <w:rPr>
                <w:rFonts w:ascii="Arial (W1)" w:hAnsi="Arial (W1)"/>
                <w:b/>
                <w:bCs/>
                <w:sz w:val="26"/>
                <w:szCs w:val="26"/>
              </w:rPr>
            </w:pPr>
            <w:r w:rsidRPr="00C7165D">
              <w:rPr>
                <w:rFonts w:hint="cs"/>
                <w:b/>
                <w:bCs/>
                <w:sz w:val="26"/>
                <w:szCs w:val="26"/>
                <w:rtl/>
              </w:rPr>
              <w:t xml:space="preserve">בפני </w:t>
            </w:r>
          </w:p>
        </w:tc>
        <w:tc>
          <w:tcPr>
            <w:tcW w:w="8077" w:type="dxa"/>
            <w:gridSpan w:val="2"/>
            <w:hideMark/>
          </w:tcPr>
          <w:p w:rsidR="006816EC" w:rsidRPr="00C7165D" w:rsidRDefault="00B32C61" w:rsidP="006816EC">
            <w:pPr>
              <w:rPr>
                <w:rFonts w:ascii="Arial" w:hAnsi="Arial"/>
                <w:b/>
                <w:bCs/>
                <w:sz w:val="26"/>
                <w:szCs w:val="26"/>
                <w:rtl/>
              </w:rPr>
            </w:pPr>
            <w:r w:rsidRPr="00C7165D">
              <w:rPr>
                <w:rFonts w:ascii="Arial" w:hAnsi="Arial" w:hint="cs"/>
                <w:b/>
                <w:bCs/>
                <w:sz w:val="26"/>
                <w:szCs w:val="26"/>
                <w:rtl/>
              </w:rPr>
              <w:t>כבוד</w:t>
            </w:r>
            <w:r w:rsidR="006816EC" w:rsidRPr="00C7165D">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C7165D">
                  <w:rPr>
                    <w:rFonts w:ascii="Arial" w:hAnsi="Arial"/>
                    <w:b/>
                    <w:bCs/>
                    <w:sz w:val="26"/>
                    <w:szCs w:val="26"/>
                    <w:rtl/>
                  </w:rPr>
                  <w:t xml:space="preserve">שופטת </w:t>
                </w:r>
                <w:r w:rsidR="00612BD6">
                  <w:rPr>
                    <w:rFonts w:ascii="Arial" w:hAnsi="Arial" w:hint="cs"/>
                    <w:b/>
                    <w:bCs/>
                    <w:sz w:val="26"/>
                    <w:szCs w:val="26"/>
                    <w:rtl/>
                  </w:rPr>
                  <w:t>ה</w:t>
                </w:r>
                <w:r w:rsidRPr="00C7165D">
                  <w:rPr>
                    <w:rFonts w:ascii="Arial" w:hAnsi="Arial"/>
                    <w:b/>
                    <w:bCs/>
                    <w:sz w:val="26"/>
                    <w:szCs w:val="26"/>
                    <w:rtl/>
                  </w:rPr>
                  <w:t>בכירה</w:t>
                </w:r>
              </w:sdtContent>
            </w:sdt>
            <w:r w:rsidR="006816EC" w:rsidRPr="00C7165D">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C7165D">
                  <w:rPr>
                    <w:rFonts w:ascii="Arial" w:hAnsi="Arial"/>
                    <w:b/>
                    <w:bCs/>
                    <w:sz w:val="26"/>
                    <w:szCs w:val="26"/>
                    <w:rtl/>
                  </w:rPr>
                  <w:t>שושנה ברגר</w:t>
                </w:r>
              </w:sdtContent>
            </w:sdt>
          </w:p>
          <w:p w:rsidR="006816EC" w:rsidRPr="00C7165D" w:rsidRDefault="006816EC" w:rsidP="006816EC">
            <w:pPr>
              <w:rPr>
                <w:b/>
                <w:bCs/>
                <w:sz w:val="26"/>
                <w:szCs w:val="26"/>
              </w:rPr>
            </w:pPr>
          </w:p>
        </w:tc>
      </w:tr>
      <w:tr w:rsidR="006816EC" w:rsidTr="006816EC">
        <w:trPr>
          <w:jc w:val="center"/>
        </w:trPr>
        <w:tc>
          <w:tcPr>
            <w:tcW w:w="3249" w:type="dxa"/>
            <w:gridSpan w:val="2"/>
          </w:tcPr>
          <w:p w:rsidR="00D32376" w:rsidRPr="00C7165D" w:rsidRDefault="00F876F1" w:rsidP="00F876F1">
            <w:pPr>
              <w:rPr>
                <w:rFonts w:ascii="Arial (W1)" w:hAnsi="Arial (W1)"/>
                <w:b/>
                <w:bCs/>
                <w:noProof w:val="0"/>
                <w:sz w:val="26"/>
                <w:szCs w:val="26"/>
              </w:rPr>
            </w:pPr>
            <w:r w:rsidRPr="00C7165D">
              <w:rPr>
                <w:rFonts w:hint="cs"/>
                <w:b/>
                <w:bCs/>
                <w:sz w:val="26"/>
                <w:szCs w:val="26"/>
                <w:rtl/>
              </w:rPr>
              <w:t>ה</w:t>
            </w:r>
            <w:sdt>
              <w:sdtPr>
                <w:rPr>
                  <w:rFonts w:hint="cs"/>
                  <w:b/>
                  <w:bCs/>
                  <w:sz w:val="26"/>
                  <w:szCs w:val="26"/>
                  <w:rtl/>
                </w:rPr>
                <w:alias w:val="1180"/>
                <w:tag w:val="1180"/>
                <w:id w:val="-803768281"/>
                <w:text w:multiLine="1"/>
              </w:sdtPr>
              <w:sdtEndPr/>
              <w:sdtContent>
                <w:r w:rsidR="00F617EB" w:rsidRPr="00C7165D">
                  <w:rPr>
                    <w:rFonts w:hint="cs"/>
                    <w:b/>
                    <w:bCs/>
                    <w:noProof w:val="0"/>
                    <w:sz w:val="26"/>
                    <w:szCs w:val="26"/>
                    <w:rtl/>
                  </w:rPr>
                  <w:t>תובע</w:t>
                </w:r>
                <w:r w:rsidRPr="00C7165D">
                  <w:rPr>
                    <w:rFonts w:hint="cs"/>
                    <w:b/>
                    <w:bCs/>
                    <w:noProof w:val="0"/>
                    <w:sz w:val="26"/>
                    <w:szCs w:val="26"/>
                    <w:rtl/>
                  </w:rPr>
                  <w:t>ת:</w:t>
                </w:r>
              </w:sdtContent>
            </w:sdt>
          </w:p>
        </w:tc>
        <w:tc>
          <w:tcPr>
            <w:tcW w:w="5571" w:type="dxa"/>
          </w:tcPr>
          <w:p w:rsidR="00F876F1" w:rsidRPr="00C7165D" w:rsidRDefault="00F04E91" w:rsidP="007C4A11">
            <w:pPr>
              <w:rPr>
                <w:b/>
                <w:bCs/>
                <w:noProof w:val="0"/>
                <w:sz w:val="26"/>
                <w:szCs w:val="26"/>
                <w:rtl/>
              </w:rPr>
            </w:pPr>
            <w:sdt>
              <w:sdtPr>
                <w:rPr>
                  <w:rFonts w:hint="cs"/>
                  <w:b/>
                  <w:bCs/>
                  <w:noProof w:val="0"/>
                  <w:sz w:val="26"/>
                  <w:szCs w:val="26"/>
                  <w:rtl/>
                </w:rPr>
                <w:alias w:val="1478"/>
                <w:tag w:val="1478"/>
                <w:id w:val="160126198"/>
                <w:text w:multiLine="1"/>
              </w:sdtPr>
              <w:sdtEndPr/>
              <w:sdtContent>
                <w:r w:rsidR="007C4A11">
                  <w:rPr>
                    <w:rFonts w:hint="cs"/>
                    <w:b/>
                    <w:bCs/>
                    <w:noProof w:val="0"/>
                    <w:sz w:val="26"/>
                    <w:szCs w:val="26"/>
                  </w:rPr>
                  <w:t>XXX</w:t>
                </w:r>
              </w:sdtContent>
            </w:sdt>
            <w:r w:rsidR="009C358E" w:rsidRPr="00C7165D">
              <w:rPr>
                <w:rFonts w:hint="cs"/>
                <w:b/>
                <w:bCs/>
                <w:noProof w:val="0"/>
                <w:sz w:val="26"/>
                <w:szCs w:val="26"/>
                <w:rtl/>
              </w:rPr>
              <w:t xml:space="preserve"> </w:t>
            </w:r>
            <w:r w:rsidR="00F876F1" w:rsidRPr="00C7165D">
              <w:rPr>
                <w:rFonts w:hint="cs"/>
                <w:b/>
                <w:bCs/>
                <w:noProof w:val="0"/>
                <w:sz w:val="26"/>
                <w:szCs w:val="26"/>
                <w:rtl/>
              </w:rPr>
              <w:t xml:space="preserve">ת.ז. </w:t>
            </w:r>
            <w:r w:rsidR="007C4A11">
              <w:rPr>
                <w:rFonts w:hint="cs"/>
                <w:b/>
                <w:bCs/>
                <w:noProof w:val="0"/>
                <w:sz w:val="26"/>
                <w:szCs w:val="26"/>
              </w:rPr>
              <w:t>XXX</w:t>
            </w:r>
          </w:p>
          <w:p w:rsidR="006816EC" w:rsidRPr="00C7165D" w:rsidRDefault="00F876F1" w:rsidP="00F876F1">
            <w:pPr>
              <w:rPr>
                <w:b/>
                <w:bCs/>
                <w:noProof w:val="0"/>
                <w:sz w:val="26"/>
                <w:szCs w:val="26"/>
              </w:rPr>
            </w:pPr>
            <w:r w:rsidRPr="00C7165D">
              <w:rPr>
                <w:rFonts w:hint="cs"/>
                <w:b/>
                <w:bCs/>
                <w:noProof w:val="0"/>
                <w:sz w:val="26"/>
                <w:szCs w:val="26"/>
                <w:rtl/>
              </w:rPr>
              <w:t>ע"י ב"כ עו"ד שגיא לגסה</w:t>
            </w:r>
            <w:r w:rsidR="002B3BFF">
              <w:rPr>
                <w:rFonts w:hint="cs"/>
                <w:b/>
                <w:bCs/>
                <w:noProof w:val="0"/>
                <w:sz w:val="26"/>
                <w:szCs w:val="26"/>
                <w:rtl/>
              </w:rPr>
              <w:t xml:space="preserve"> (סיוע משפטי)</w:t>
            </w:r>
          </w:p>
        </w:tc>
      </w:tr>
      <w:tr w:rsidR="006816EC" w:rsidTr="006816EC">
        <w:trPr>
          <w:jc w:val="center"/>
        </w:trPr>
        <w:tc>
          <w:tcPr>
            <w:tcW w:w="8820" w:type="dxa"/>
            <w:gridSpan w:val="3"/>
          </w:tcPr>
          <w:p w:rsidR="006816EC" w:rsidRPr="00C7165D" w:rsidRDefault="006816EC">
            <w:pPr>
              <w:rPr>
                <w:rFonts w:ascii="Arial (W1)" w:hAnsi="Arial (W1)"/>
                <w:b/>
                <w:bCs/>
                <w:noProof w:val="0"/>
                <w:sz w:val="26"/>
                <w:szCs w:val="26"/>
                <w:rtl/>
              </w:rPr>
            </w:pPr>
          </w:p>
          <w:p w:rsidR="006816EC" w:rsidRPr="00C7165D" w:rsidRDefault="006816EC" w:rsidP="00F876F1">
            <w:pPr>
              <w:jc w:val="center"/>
              <w:rPr>
                <w:rFonts w:ascii="Arial (W1)" w:hAnsi="Arial (W1)"/>
                <w:b/>
                <w:bCs/>
                <w:noProof w:val="0"/>
                <w:sz w:val="26"/>
                <w:szCs w:val="26"/>
              </w:rPr>
            </w:pPr>
            <w:r w:rsidRPr="00C7165D">
              <w:rPr>
                <w:rFonts w:hint="cs"/>
                <w:b/>
                <w:bCs/>
                <w:noProof w:val="0"/>
                <w:sz w:val="26"/>
                <w:szCs w:val="26"/>
                <w:rtl/>
              </w:rPr>
              <w:t>נגד</w:t>
            </w:r>
          </w:p>
        </w:tc>
      </w:tr>
      <w:tr w:rsidR="006816EC" w:rsidTr="006816EC">
        <w:trPr>
          <w:jc w:val="center"/>
        </w:trPr>
        <w:tc>
          <w:tcPr>
            <w:tcW w:w="3249" w:type="dxa"/>
            <w:gridSpan w:val="2"/>
          </w:tcPr>
          <w:p w:rsidR="006816EC" w:rsidRPr="00C7165D" w:rsidRDefault="006816EC">
            <w:pPr>
              <w:rPr>
                <w:rFonts w:ascii="Arial (W1)" w:hAnsi="Arial (W1)"/>
                <w:b/>
                <w:bCs/>
                <w:noProof w:val="0"/>
                <w:sz w:val="26"/>
                <w:szCs w:val="26"/>
                <w:rtl/>
              </w:rPr>
            </w:pPr>
          </w:p>
          <w:p w:rsidR="006816EC" w:rsidRPr="00C7165D" w:rsidRDefault="00F04E91" w:rsidP="00F876F1">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F876F1" w:rsidRPr="00C7165D">
                  <w:rPr>
                    <w:rFonts w:hint="cs"/>
                    <w:b/>
                    <w:bCs/>
                    <w:noProof w:val="0"/>
                    <w:sz w:val="26"/>
                    <w:szCs w:val="26"/>
                    <w:rtl/>
                  </w:rPr>
                  <w:t>ה</w:t>
                </w:r>
                <w:r w:rsidR="00E44DDF" w:rsidRPr="00C7165D">
                  <w:rPr>
                    <w:rFonts w:hint="cs"/>
                    <w:b/>
                    <w:bCs/>
                    <w:noProof w:val="0"/>
                    <w:sz w:val="26"/>
                    <w:szCs w:val="26"/>
                    <w:rtl/>
                  </w:rPr>
                  <w:t>נתבע</w:t>
                </w:r>
                <w:r w:rsidR="00F876F1" w:rsidRPr="00C7165D">
                  <w:rPr>
                    <w:rFonts w:hint="cs"/>
                    <w:b/>
                    <w:bCs/>
                    <w:noProof w:val="0"/>
                    <w:sz w:val="26"/>
                    <w:szCs w:val="26"/>
                    <w:rtl/>
                  </w:rPr>
                  <w:t>:</w:t>
                </w:r>
              </w:sdtContent>
            </w:sdt>
          </w:p>
        </w:tc>
        <w:tc>
          <w:tcPr>
            <w:tcW w:w="5571" w:type="dxa"/>
          </w:tcPr>
          <w:p w:rsidR="006816EC" w:rsidRPr="00C7165D" w:rsidRDefault="006816EC">
            <w:pPr>
              <w:rPr>
                <w:rFonts w:ascii="Arial (W1)" w:hAnsi="Arial (W1)"/>
                <w:b/>
                <w:bCs/>
                <w:noProof w:val="0"/>
                <w:sz w:val="26"/>
                <w:szCs w:val="26"/>
                <w:rtl/>
              </w:rPr>
            </w:pPr>
          </w:p>
          <w:p w:rsidR="00F876F1" w:rsidRPr="00C7165D" w:rsidRDefault="00F04E91" w:rsidP="007C4A11">
            <w:pPr>
              <w:rPr>
                <w:b/>
                <w:bCs/>
                <w:noProof w:val="0"/>
                <w:sz w:val="26"/>
                <w:szCs w:val="26"/>
                <w:rtl/>
              </w:rPr>
            </w:pPr>
            <w:sdt>
              <w:sdtPr>
                <w:rPr>
                  <w:rFonts w:hint="cs"/>
                  <w:b/>
                  <w:bCs/>
                  <w:noProof w:val="0"/>
                  <w:sz w:val="26"/>
                  <w:szCs w:val="26"/>
                  <w:rtl/>
                </w:rPr>
                <w:alias w:val="1486"/>
                <w:tag w:val="1486"/>
                <w:id w:val="1487590763"/>
                <w:text w:multiLine="1"/>
              </w:sdtPr>
              <w:sdtEndPr/>
              <w:sdtContent>
                <w:r w:rsidR="007C4A11">
                  <w:rPr>
                    <w:rFonts w:hint="cs"/>
                    <w:b/>
                    <w:bCs/>
                    <w:noProof w:val="0"/>
                    <w:sz w:val="26"/>
                    <w:szCs w:val="26"/>
                  </w:rPr>
                  <w:t>XXX</w:t>
                </w:r>
              </w:sdtContent>
            </w:sdt>
            <w:r w:rsidR="009C358E" w:rsidRPr="00C7165D">
              <w:rPr>
                <w:rFonts w:hint="cs"/>
                <w:b/>
                <w:bCs/>
                <w:noProof w:val="0"/>
                <w:sz w:val="26"/>
                <w:szCs w:val="26"/>
                <w:rtl/>
              </w:rPr>
              <w:t xml:space="preserve"> </w:t>
            </w:r>
            <w:r w:rsidR="00F876F1" w:rsidRPr="00C7165D">
              <w:rPr>
                <w:rFonts w:hint="cs"/>
                <w:b/>
                <w:bCs/>
                <w:noProof w:val="0"/>
                <w:sz w:val="26"/>
                <w:szCs w:val="26"/>
                <w:rtl/>
              </w:rPr>
              <w:t xml:space="preserve">ת.ז. </w:t>
            </w:r>
            <w:r w:rsidR="007C4A11">
              <w:rPr>
                <w:rFonts w:hint="cs"/>
                <w:b/>
                <w:bCs/>
                <w:noProof w:val="0"/>
                <w:sz w:val="26"/>
                <w:szCs w:val="26"/>
              </w:rPr>
              <w:t>XXX</w:t>
            </w:r>
          </w:p>
          <w:p w:rsidR="006816EC" w:rsidRPr="00C7165D" w:rsidRDefault="00F876F1" w:rsidP="00F876F1">
            <w:pPr>
              <w:rPr>
                <w:rFonts w:ascii="Arial (W1)" w:hAnsi="Arial (W1)"/>
                <w:b/>
                <w:bCs/>
                <w:noProof w:val="0"/>
                <w:sz w:val="26"/>
                <w:szCs w:val="26"/>
                <w:rtl/>
              </w:rPr>
            </w:pPr>
            <w:r w:rsidRPr="00C7165D">
              <w:rPr>
                <w:rFonts w:hint="cs"/>
                <w:b/>
                <w:bCs/>
                <w:noProof w:val="0"/>
                <w:sz w:val="26"/>
                <w:szCs w:val="26"/>
                <w:rtl/>
              </w:rPr>
              <w:t>ע"י ב"כ עו"ד יעל דסטה</w:t>
            </w:r>
            <w:r w:rsidR="002B3BFF">
              <w:rPr>
                <w:rFonts w:ascii="Arial (W1)" w:hAnsi="Arial (W1)" w:hint="cs"/>
                <w:b/>
                <w:bCs/>
                <w:noProof w:val="0"/>
                <w:sz w:val="26"/>
                <w:szCs w:val="26"/>
                <w:rtl/>
              </w:rPr>
              <w:t xml:space="preserve"> (סיוע משפטי)</w:t>
            </w:r>
          </w:p>
          <w:p w:rsidR="00F876F1" w:rsidRPr="00C7165D" w:rsidRDefault="00F876F1" w:rsidP="00F876F1">
            <w:pPr>
              <w:rPr>
                <w:rFonts w:ascii="Arial (W1)" w:hAnsi="Arial (W1)"/>
                <w:b/>
                <w:bCs/>
                <w:noProof w:val="0"/>
                <w:sz w:val="26"/>
                <w:szCs w:val="26"/>
              </w:rPr>
            </w:pPr>
          </w:p>
        </w:tc>
      </w:tr>
      <w:tr w:rsidR="00D36A71" w:rsidTr="008E05DD">
        <w:trPr>
          <w:trHeight w:val="1289"/>
          <w:jc w:val="center"/>
        </w:trPr>
        <w:tc>
          <w:tcPr>
            <w:tcW w:w="8820" w:type="dxa"/>
            <w:gridSpan w:val="3"/>
          </w:tcPr>
          <w:p w:rsidR="00D36A71" w:rsidRPr="00C7165D" w:rsidRDefault="00F876F1" w:rsidP="007C4A11">
            <w:pPr>
              <w:rPr>
                <w:rFonts w:ascii="Arial (W1)" w:hAnsi="Arial (W1)"/>
                <w:b/>
                <w:bCs/>
                <w:noProof w:val="0"/>
                <w:sz w:val="26"/>
                <w:szCs w:val="26"/>
                <w:rtl/>
              </w:rPr>
            </w:pPr>
            <w:r w:rsidRPr="00C7165D">
              <w:rPr>
                <w:rFonts w:ascii="Arial (W1)" w:hAnsi="Arial (W1)" w:hint="cs"/>
                <w:b/>
                <w:bCs/>
                <w:noProof w:val="0"/>
                <w:sz w:val="26"/>
                <w:szCs w:val="26"/>
                <w:rtl/>
              </w:rPr>
              <w:t xml:space="preserve">ובעניין הקטין:                            </w:t>
            </w:r>
            <w:r w:rsidR="00C7165D">
              <w:rPr>
                <w:rStyle w:val="normal-h"/>
                <w:rFonts w:ascii="David" w:hAnsi="David" w:hint="cs"/>
                <w:b/>
                <w:bCs/>
                <w:sz w:val="26"/>
                <w:szCs w:val="26"/>
                <w:rtl/>
              </w:rPr>
              <w:t xml:space="preserve">    </w:t>
            </w:r>
            <w:r w:rsidR="007C4A11">
              <w:rPr>
                <w:rStyle w:val="normal-h"/>
                <w:rFonts w:ascii="David" w:hAnsi="David" w:hint="cs"/>
                <w:b/>
                <w:bCs/>
                <w:sz w:val="26"/>
                <w:szCs w:val="26"/>
              </w:rPr>
              <w:t>XXX</w:t>
            </w:r>
            <w:r w:rsidRPr="00C7165D">
              <w:rPr>
                <w:rStyle w:val="normal-h"/>
                <w:rFonts w:ascii="David" w:hAnsi="David" w:hint="cs"/>
                <w:b/>
                <w:bCs/>
                <w:sz w:val="26"/>
                <w:szCs w:val="26"/>
                <w:rtl/>
              </w:rPr>
              <w:t xml:space="preserve"> ת.ז. </w:t>
            </w:r>
            <w:r w:rsidR="007C4A11">
              <w:rPr>
                <w:rStyle w:val="normal-h"/>
                <w:rFonts w:ascii="David" w:hAnsi="David" w:hint="cs"/>
                <w:b/>
                <w:bCs/>
                <w:sz w:val="26"/>
                <w:szCs w:val="26"/>
              </w:rPr>
              <w:t>XXX</w:t>
            </w:r>
            <w:r w:rsidR="007C4A11">
              <w:rPr>
                <w:rStyle w:val="normal-h"/>
                <w:rFonts w:ascii="David" w:hAnsi="David" w:hint="cs"/>
                <w:b/>
                <w:bCs/>
                <w:sz w:val="26"/>
                <w:szCs w:val="26"/>
                <w:rtl/>
              </w:rPr>
              <w:t xml:space="preserve"> </w:t>
            </w:r>
            <w:r w:rsidRPr="00C7165D">
              <w:rPr>
                <w:rStyle w:val="normal-h"/>
                <w:rFonts w:ascii="David" w:hAnsi="David"/>
                <w:b/>
                <w:bCs/>
                <w:sz w:val="26"/>
                <w:szCs w:val="26"/>
                <w:rtl/>
              </w:rPr>
              <w:t>יליד</w:t>
            </w:r>
            <w:r w:rsidR="007C4A11">
              <w:rPr>
                <w:rStyle w:val="normal-h"/>
                <w:rFonts w:ascii="David" w:hAnsi="David" w:hint="cs"/>
                <w:b/>
                <w:bCs/>
                <w:sz w:val="26"/>
                <w:szCs w:val="26"/>
                <w:rtl/>
              </w:rPr>
              <w:t xml:space="preserve"> 2010</w:t>
            </w:r>
          </w:p>
        </w:tc>
      </w:tr>
      <w:tr w:rsidR="00D36A71" w:rsidTr="006816EC">
        <w:trPr>
          <w:jc w:val="center"/>
        </w:trPr>
        <w:tc>
          <w:tcPr>
            <w:tcW w:w="3249" w:type="dxa"/>
            <w:gridSpan w:val="2"/>
          </w:tcPr>
          <w:p w:rsidR="00D32376" w:rsidRPr="008E05DD" w:rsidRDefault="00D32376">
            <w:pPr>
              <w:rPr>
                <w:rFonts w:ascii="David" w:eastAsia="David" w:hAnsi="David"/>
                <w:noProof w:val="0"/>
              </w:rPr>
            </w:pPr>
          </w:p>
        </w:tc>
        <w:tc>
          <w:tcPr>
            <w:tcW w:w="5571" w:type="dxa"/>
          </w:tcPr>
          <w:p w:rsidR="00D32376" w:rsidRDefault="00D32376">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51280" w:rsidRPr="00F617EB" w:rsidRDefault="00851280" w:rsidP="007C4A11">
      <w:pPr>
        <w:spacing w:line="360" w:lineRule="auto"/>
        <w:jc w:val="both"/>
        <w:rPr>
          <w:rFonts w:ascii="David" w:hAnsi="David"/>
          <w:rtl/>
        </w:rPr>
      </w:pPr>
      <w:r w:rsidRPr="00F617EB">
        <w:rPr>
          <w:rFonts w:ascii="David" w:hAnsi="David"/>
          <w:rtl/>
        </w:rPr>
        <w:t xml:space="preserve">בפני תובענה למתן היתר לגביית חיובי מזונות שלא התחילו לפעול לגבייתם תוך שנתיים לאחר התקופה שבעדה נפסקו, אשר הוגשה על ידי הגב' </w:t>
      </w:r>
      <w:r w:rsidR="007C4A11">
        <w:rPr>
          <w:rFonts w:ascii="David" w:hAnsi="David" w:hint="cs"/>
        </w:rPr>
        <w:t>XXX</w:t>
      </w:r>
      <w:r w:rsidRPr="00F617EB">
        <w:rPr>
          <w:rFonts w:ascii="David" w:hAnsi="David"/>
          <w:rtl/>
        </w:rPr>
        <w:t xml:space="preserve"> (להלן: "</w:t>
      </w:r>
      <w:r w:rsidRPr="00F617EB">
        <w:rPr>
          <w:rFonts w:ascii="David" w:hAnsi="David"/>
          <w:b/>
          <w:bCs/>
          <w:rtl/>
        </w:rPr>
        <w:t>התובעת</w:t>
      </w:r>
      <w:r w:rsidRPr="00F617EB">
        <w:rPr>
          <w:rFonts w:ascii="David" w:hAnsi="David"/>
          <w:rtl/>
        </w:rPr>
        <w:t xml:space="preserve">") כנגד המשיב, מר </w:t>
      </w:r>
      <w:r w:rsidR="007C4A11">
        <w:rPr>
          <w:rFonts w:ascii="David" w:hAnsi="David" w:hint="cs"/>
        </w:rPr>
        <w:t>XXX</w:t>
      </w:r>
      <w:r w:rsidR="007C4A11">
        <w:rPr>
          <w:rFonts w:ascii="David" w:hAnsi="David" w:hint="cs"/>
          <w:rtl/>
        </w:rPr>
        <w:t xml:space="preserve"> </w:t>
      </w:r>
      <w:r w:rsidRPr="00F617EB">
        <w:rPr>
          <w:rFonts w:ascii="David" w:hAnsi="David"/>
          <w:rtl/>
        </w:rPr>
        <w:t>(להלן: "</w:t>
      </w:r>
      <w:r w:rsidRPr="00F617EB">
        <w:rPr>
          <w:rFonts w:ascii="David" w:hAnsi="David"/>
          <w:b/>
          <w:bCs/>
          <w:rtl/>
        </w:rPr>
        <w:t>הנתבע</w:t>
      </w:r>
      <w:r w:rsidRPr="00F617EB">
        <w:rPr>
          <w:rFonts w:ascii="David" w:hAnsi="David"/>
          <w:rtl/>
        </w:rPr>
        <w:t>").</w:t>
      </w:r>
    </w:p>
    <w:p w:rsidR="00851280" w:rsidRPr="00F617EB" w:rsidRDefault="00851280" w:rsidP="00F617EB">
      <w:pPr>
        <w:spacing w:line="360" w:lineRule="auto"/>
        <w:jc w:val="both"/>
        <w:rPr>
          <w:rFonts w:ascii="David" w:hAnsi="David"/>
          <w:rtl/>
        </w:rPr>
      </w:pPr>
    </w:p>
    <w:p w:rsidR="00851280" w:rsidRPr="00F617EB" w:rsidRDefault="00851280" w:rsidP="00F617EB">
      <w:pPr>
        <w:spacing w:line="360" w:lineRule="auto"/>
        <w:jc w:val="both"/>
        <w:rPr>
          <w:rFonts w:ascii="David" w:hAnsi="David"/>
          <w:b/>
          <w:bCs/>
          <w:u w:val="single"/>
          <w:rtl/>
        </w:rPr>
      </w:pPr>
      <w:r w:rsidRPr="00F617EB">
        <w:rPr>
          <w:rFonts w:ascii="David" w:hAnsi="David"/>
          <w:b/>
          <w:bCs/>
          <w:u w:val="single"/>
          <w:rtl/>
        </w:rPr>
        <w:t>רקע בקצרה:</w:t>
      </w:r>
    </w:p>
    <w:p w:rsidR="00851280" w:rsidRPr="00F617EB" w:rsidRDefault="00851280" w:rsidP="00F617EB">
      <w:pPr>
        <w:spacing w:line="360" w:lineRule="auto"/>
        <w:jc w:val="both"/>
        <w:rPr>
          <w:rFonts w:ascii="David" w:hAnsi="David"/>
          <w:rtl/>
        </w:rPr>
      </w:pPr>
    </w:p>
    <w:p w:rsidR="00851280" w:rsidRPr="00F617EB" w:rsidRDefault="00D30E0D" w:rsidP="00D30E0D">
      <w:pPr>
        <w:pStyle w:val="ad"/>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הצדדים נישאו </w:t>
      </w:r>
      <w:r>
        <w:rPr>
          <w:rFonts w:ascii="David" w:hAnsi="David" w:cs="David" w:hint="cs"/>
          <w:sz w:val="24"/>
          <w:szCs w:val="24"/>
          <w:rtl/>
        </w:rPr>
        <w:t>באתיופיה</w:t>
      </w:r>
      <w:r w:rsidR="00851280" w:rsidRPr="00F617EB">
        <w:rPr>
          <w:rFonts w:ascii="David" w:hAnsi="David" w:cs="David"/>
          <w:sz w:val="24"/>
          <w:szCs w:val="24"/>
          <w:rtl/>
        </w:rPr>
        <w:t xml:space="preserve"> ביום 28.3.10, ובמסגרת הנישואין נולד הקטין </w:t>
      </w:r>
      <w:r w:rsidR="007C4A11">
        <w:rPr>
          <w:rStyle w:val="normal-h"/>
          <w:rFonts w:ascii="David" w:hAnsi="David" w:cs="David" w:hint="cs"/>
          <w:sz w:val="24"/>
          <w:szCs w:val="24"/>
        </w:rPr>
        <w:t>XXX</w:t>
      </w:r>
      <w:r w:rsidR="00851280" w:rsidRPr="00F617EB">
        <w:rPr>
          <w:rStyle w:val="normal-h"/>
          <w:rFonts w:ascii="David" w:hAnsi="David" w:cs="David"/>
          <w:sz w:val="24"/>
          <w:szCs w:val="24"/>
          <w:rtl/>
        </w:rPr>
        <w:t xml:space="preserve"> יליד 16.5.10</w:t>
      </w:r>
      <w:r w:rsidR="00851280" w:rsidRPr="00F617EB">
        <w:rPr>
          <w:rFonts w:ascii="David" w:hAnsi="David" w:cs="David"/>
          <w:sz w:val="24"/>
          <w:szCs w:val="24"/>
          <w:rtl/>
        </w:rPr>
        <w:t xml:space="preserve"> (להלן: "</w:t>
      </w:r>
      <w:r w:rsidR="00851280" w:rsidRPr="00F617EB">
        <w:rPr>
          <w:rFonts w:ascii="David" w:hAnsi="David" w:cs="David"/>
          <w:b/>
          <w:bCs/>
          <w:sz w:val="24"/>
          <w:szCs w:val="24"/>
          <w:rtl/>
        </w:rPr>
        <w:t>הקטין</w:t>
      </w:r>
      <w:r w:rsidR="00851280" w:rsidRPr="00F617EB">
        <w:rPr>
          <w:rFonts w:ascii="David" w:hAnsi="David" w:cs="David"/>
          <w:sz w:val="24"/>
          <w:szCs w:val="24"/>
          <w:rtl/>
        </w:rPr>
        <w:t>"). לתובעת שני ילדים נוספים מנישואיה הראשונים. הנתבע הינו אב ל-4 ילדים</w:t>
      </w:r>
      <w:r w:rsidR="00061E51" w:rsidRPr="00F617EB">
        <w:rPr>
          <w:rFonts w:ascii="David" w:hAnsi="David" w:cs="David"/>
          <w:sz w:val="24"/>
          <w:szCs w:val="24"/>
          <w:rtl/>
        </w:rPr>
        <w:t xml:space="preserve"> מ-3 נשים שונות</w:t>
      </w:r>
      <w:r w:rsidR="00851280" w:rsidRPr="00F617EB">
        <w:rPr>
          <w:rFonts w:ascii="David" w:hAnsi="David" w:cs="David"/>
          <w:sz w:val="24"/>
          <w:szCs w:val="24"/>
          <w:rtl/>
        </w:rPr>
        <w:t>.</w:t>
      </w:r>
    </w:p>
    <w:p w:rsidR="00851280" w:rsidRPr="00F617EB" w:rsidRDefault="00851280" w:rsidP="00F617EB">
      <w:pPr>
        <w:pStyle w:val="ad"/>
        <w:spacing w:after="0" w:line="360" w:lineRule="auto"/>
        <w:ind w:left="368"/>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Style w:val="david-h1"/>
          <w:rFonts w:ascii="David" w:hAnsi="David" w:cs="David"/>
        </w:rPr>
      </w:pPr>
      <w:r w:rsidRPr="00F617EB">
        <w:rPr>
          <w:rFonts w:ascii="David" w:hAnsi="David" w:cs="David"/>
          <w:sz w:val="24"/>
          <w:szCs w:val="24"/>
          <w:rtl/>
        </w:rPr>
        <w:t>ביום 10.7.12 הגיעו הצדדים להסכמו</w:t>
      </w:r>
      <w:r w:rsidR="00895F14">
        <w:rPr>
          <w:rFonts w:ascii="David" w:hAnsi="David" w:cs="David"/>
          <w:sz w:val="24"/>
          <w:szCs w:val="24"/>
          <w:rtl/>
        </w:rPr>
        <w:t xml:space="preserve">ת אשר קיבלו תוקף של פסק דין </w:t>
      </w:r>
      <w:r w:rsidR="00895F14">
        <w:rPr>
          <w:rFonts w:ascii="David" w:hAnsi="David" w:cs="David" w:hint="cs"/>
          <w:sz w:val="24"/>
          <w:szCs w:val="24"/>
          <w:rtl/>
        </w:rPr>
        <w:t xml:space="preserve">על ידי </w:t>
      </w:r>
      <w:r w:rsidRPr="00F617EB">
        <w:rPr>
          <w:rFonts w:ascii="David" w:hAnsi="David" w:cs="David"/>
          <w:sz w:val="24"/>
          <w:szCs w:val="24"/>
          <w:rtl/>
        </w:rPr>
        <w:t>כב' השופטת (כתוארה דאז) שלי אייזנברג (להלן: "</w:t>
      </w:r>
      <w:r w:rsidRPr="00F617EB">
        <w:rPr>
          <w:rFonts w:ascii="David" w:hAnsi="David" w:cs="David"/>
          <w:b/>
          <w:bCs/>
          <w:sz w:val="24"/>
          <w:szCs w:val="24"/>
          <w:rtl/>
        </w:rPr>
        <w:t>הנשיאה אייזנברג</w:t>
      </w:r>
      <w:r w:rsidRPr="00F617EB">
        <w:rPr>
          <w:rFonts w:ascii="David" w:hAnsi="David" w:cs="David"/>
          <w:sz w:val="24"/>
          <w:szCs w:val="24"/>
          <w:rtl/>
        </w:rPr>
        <w:t>") במסגרת תמ"ש 47636-01-12 (והתיקים הקשורים). בסעיף 2 ד' להסכמות הוסכם כי</w:t>
      </w:r>
      <w:r w:rsidRPr="00F617EB">
        <w:rPr>
          <w:rStyle w:val="david-h1"/>
          <w:rFonts w:ascii="David" w:hAnsi="David" w:cs="David"/>
          <w:rtl/>
        </w:rPr>
        <w:t xml:space="preserve"> הנתבע יישא במזונות הקטין בסך של 1,000 ₪ לחודש החל מיום הגשת התביעה 23.1.12 ועד הגיע הקטין לגיל 18 שנה ו/או עד לסיום לימודיו בתיכון, לפי המאוחר מבין השניים. בנוסף, הנתבע יישא במחצית הוצאות</w:t>
      </w:r>
      <w:r w:rsidR="00895F14">
        <w:rPr>
          <w:rStyle w:val="david-h1"/>
          <w:rFonts w:ascii="David" w:hAnsi="David" w:cs="David"/>
          <w:rtl/>
        </w:rPr>
        <w:t xml:space="preserve"> רפואיות חריגות שאינן מכוסות ע</w:t>
      </w:r>
      <w:r w:rsidR="00895F14">
        <w:rPr>
          <w:rStyle w:val="david-h1"/>
          <w:rFonts w:ascii="David" w:hAnsi="David" w:cs="David" w:hint="cs"/>
          <w:rtl/>
        </w:rPr>
        <w:t>ל ידי</w:t>
      </w:r>
      <w:r w:rsidRPr="00F617EB">
        <w:rPr>
          <w:rStyle w:val="david-h1"/>
          <w:rFonts w:ascii="David" w:hAnsi="David" w:cs="David"/>
          <w:rtl/>
        </w:rPr>
        <w:t xml:space="preserve"> הבטוח הרפואי בו מבוטח הקטין. </w:t>
      </w:r>
    </w:p>
    <w:p w:rsidR="00851280" w:rsidRPr="00F617EB" w:rsidRDefault="00851280" w:rsidP="00F617EB">
      <w:pPr>
        <w:pStyle w:val="ad"/>
        <w:spacing w:after="0" w:line="360" w:lineRule="auto"/>
        <w:jc w:val="both"/>
        <w:rPr>
          <w:rStyle w:val="david-h1"/>
          <w:rFonts w:ascii="David" w:hAnsi="David" w:cs="David"/>
        </w:rPr>
      </w:pPr>
    </w:p>
    <w:p w:rsidR="00895F14" w:rsidRDefault="00895F14" w:rsidP="00F617EB">
      <w:pPr>
        <w:spacing w:line="360" w:lineRule="auto"/>
        <w:jc w:val="both"/>
        <w:rPr>
          <w:rStyle w:val="david-h1"/>
          <w:rFonts w:ascii="David" w:hAnsi="David" w:cs="David"/>
          <w:b/>
          <w:bCs/>
          <w:u w:val="single"/>
          <w:rtl/>
        </w:rPr>
      </w:pPr>
    </w:p>
    <w:p w:rsidR="00895F14" w:rsidRDefault="00895F14" w:rsidP="00F617EB">
      <w:pPr>
        <w:spacing w:line="360" w:lineRule="auto"/>
        <w:jc w:val="both"/>
        <w:rPr>
          <w:rStyle w:val="david-h1"/>
          <w:rFonts w:ascii="David" w:hAnsi="David" w:cs="David"/>
          <w:b/>
          <w:bCs/>
          <w:u w:val="single"/>
          <w:rtl/>
        </w:rPr>
      </w:pPr>
    </w:p>
    <w:p w:rsidR="00895F14" w:rsidRDefault="00895F14" w:rsidP="00F617EB">
      <w:pPr>
        <w:spacing w:line="360" w:lineRule="auto"/>
        <w:jc w:val="both"/>
        <w:rPr>
          <w:rStyle w:val="david-h1"/>
          <w:rFonts w:ascii="David" w:hAnsi="David" w:cs="David"/>
          <w:b/>
          <w:bCs/>
          <w:u w:val="single"/>
          <w:rtl/>
        </w:rPr>
      </w:pPr>
    </w:p>
    <w:p w:rsidR="00895F14" w:rsidRDefault="00895F14" w:rsidP="00F617EB">
      <w:pPr>
        <w:spacing w:line="360" w:lineRule="auto"/>
        <w:jc w:val="both"/>
        <w:rPr>
          <w:rStyle w:val="david-h1"/>
          <w:rFonts w:ascii="David" w:hAnsi="David" w:cs="David"/>
          <w:b/>
          <w:bCs/>
          <w:u w:val="single"/>
          <w:rtl/>
        </w:rPr>
      </w:pPr>
    </w:p>
    <w:p w:rsidR="00895F14" w:rsidRDefault="00895F14" w:rsidP="00F617EB">
      <w:pPr>
        <w:spacing w:line="360" w:lineRule="auto"/>
        <w:jc w:val="both"/>
        <w:rPr>
          <w:rStyle w:val="david-h1"/>
          <w:rFonts w:ascii="David" w:hAnsi="David" w:cs="David"/>
          <w:b/>
          <w:bCs/>
          <w:u w:val="single"/>
          <w:rtl/>
        </w:rPr>
      </w:pPr>
    </w:p>
    <w:p w:rsidR="00851280" w:rsidRPr="00F617EB" w:rsidRDefault="00851280" w:rsidP="00F617EB">
      <w:pPr>
        <w:spacing w:line="360" w:lineRule="auto"/>
        <w:jc w:val="both"/>
        <w:rPr>
          <w:rStyle w:val="david-h1"/>
          <w:rFonts w:ascii="David" w:hAnsi="David" w:cs="David"/>
          <w:b/>
          <w:bCs/>
          <w:u w:val="single"/>
          <w:rtl/>
        </w:rPr>
      </w:pPr>
      <w:r w:rsidRPr="00F617EB">
        <w:rPr>
          <w:rStyle w:val="david-h1"/>
          <w:rFonts w:ascii="David" w:hAnsi="David" w:cs="David"/>
          <w:b/>
          <w:bCs/>
          <w:u w:val="single"/>
          <w:rtl/>
        </w:rPr>
        <w:t>סקירה דיונית של ההליך:</w:t>
      </w:r>
    </w:p>
    <w:p w:rsidR="00851280" w:rsidRPr="00F617EB" w:rsidRDefault="00851280" w:rsidP="00F617EB">
      <w:pPr>
        <w:pStyle w:val="ad"/>
        <w:spacing w:after="0" w:line="360" w:lineRule="auto"/>
        <w:jc w:val="both"/>
        <w:rPr>
          <w:rStyle w:val="david-h1"/>
          <w:rFonts w:ascii="David" w:hAnsi="David" w:cs="David"/>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tl/>
        </w:rPr>
      </w:pPr>
      <w:r w:rsidRPr="00F617EB">
        <w:rPr>
          <w:rFonts w:ascii="David" w:eastAsia="Times New Roman" w:hAnsi="David" w:cs="David"/>
          <w:noProof/>
          <w:sz w:val="24"/>
          <w:szCs w:val="24"/>
          <w:rtl/>
        </w:rPr>
        <w:t>ביום 8.7.20</w:t>
      </w:r>
      <w:r w:rsidRPr="00F617EB">
        <w:rPr>
          <w:rFonts w:ascii="David" w:hAnsi="David" w:cs="David"/>
          <w:sz w:val="24"/>
          <w:szCs w:val="24"/>
          <w:rtl/>
        </w:rPr>
        <w:t xml:space="preserve"> הגישה התובעת בקשה להיתר גביית מזונות עבר (תמ"ש 19994-07-20). ביום 13.7.20 ניתן פסק דינה של כב' הנשיאה אייזנברג לפיו מאחר וההליך נפתח בניגוד לחוק להסדר התדיינויות בסכסוכ</w:t>
      </w:r>
      <w:r w:rsidR="00895F14">
        <w:rPr>
          <w:rFonts w:ascii="David" w:hAnsi="David" w:cs="David"/>
          <w:sz w:val="24"/>
          <w:szCs w:val="24"/>
          <w:rtl/>
        </w:rPr>
        <w:t>י משפחה (הוראת שעה) התשע"ה-2014</w:t>
      </w:r>
      <w:r w:rsidR="00895F14">
        <w:rPr>
          <w:rFonts w:ascii="David" w:hAnsi="David" w:cs="David" w:hint="cs"/>
          <w:sz w:val="24"/>
          <w:szCs w:val="24"/>
          <w:rtl/>
        </w:rPr>
        <w:t xml:space="preserve">, </w:t>
      </w:r>
      <w:r w:rsidRPr="00F617EB">
        <w:rPr>
          <w:rFonts w:ascii="David" w:hAnsi="David" w:cs="David"/>
          <w:sz w:val="24"/>
          <w:szCs w:val="24"/>
          <w:rtl/>
        </w:rPr>
        <w:t xml:space="preserve">היא הורתה על מחיקתו. </w:t>
      </w:r>
    </w:p>
    <w:p w:rsidR="00851280" w:rsidRPr="00F617EB" w:rsidRDefault="00851280" w:rsidP="00F617EB">
      <w:pPr>
        <w:pStyle w:val="ad"/>
        <w:spacing w:after="0" w:line="360" w:lineRule="auto"/>
        <w:ind w:left="283"/>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Pr>
      </w:pPr>
      <w:r w:rsidRPr="00F617EB">
        <w:rPr>
          <w:rFonts w:ascii="David" w:hAnsi="David" w:cs="David"/>
          <w:sz w:val="24"/>
          <w:szCs w:val="24"/>
          <w:rtl/>
        </w:rPr>
        <w:t>ביום 14.8.20 הגישה התובעת בקשה ליישוב סכסוך (י"ס 34081-08-20). בה</w:t>
      </w:r>
      <w:r w:rsidR="00895F14">
        <w:rPr>
          <w:rFonts w:ascii="David" w:hAnsi="David" w:cs="David" w:hint="cs"/>
          <w:sz w:val="24"/>
          <w:szCs w:val="24"/>
          <w:rtl/>
        </w:rPr>
        <w:t>י</w:t>
      </w:r>
      <w:r w:rsidRPr="00F617EB">
        <w:rPr>
          <w:rFonts w:ascii="David" w:hAnsi="David" w:cs="David"/>
          <w:sz w:val="24"/>
          <w:szCs w:val="24"/>
          <w:rtl/>
        </w:rPr>
        <w:t>עדר הסכמות, נסגר ההליך בפסק דינה של כב' הנשיאה אייזנברג מיום 21.10.20.</w:t>
      </w:r>
    </w:p>
    <w:p w:rsidR="00851280" w:rsidRPr="00F617EB" w:rsidRDefault="00851280" w:rsidP="00F617EB">
      <w:pPr>
        <w:pStyle w:val="ad"/>
        <w:spacing w:after="0" w:line="360" w:lineRule="auto"/>
        <w:ind w:left="283"/>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Pr>
      </w:pPr>
      <w:r w:rsidRPr="00F617EB">
        <w:rPr>
          <w:rFonts w:ascii="David" w:hAnsi="David" w:cs="David"/>
          <w:sz w:val="24"/>
          <w:szCs w:val="24"/>
          <w:rtl/>
        </w:rPr>
        <w:t>ביום 17.2.21 הוגשה התובענה דנן. ביום 30.9.21 הוגש כתב הגנה.</w:t>
      </w:r>
    </w:p>
    <w:p w:rsidR="00851280" w:rsidRPr="00F617EB" w:rsidRDefault="00851280" w:rsidP="00F617EB">
      <w:pPr>
        <w:pStyle w:val="ad"/>
        <w:spacing w:after="0" w:line="360" w:lineRule="auto"/>
        <w:ind w:left="368"/>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Pr>
      </w:pPr>
      <w:r w:rsidRPr="00F617EB">
        <w:rPr>
          <w:rFonts w:ascii="David" w:hAnsi="David" w:cs="David"/>
          <w:sz w:val="24"/>
          <w:szCs w:val="24"/>
          <w:rtl/>
        </w:rPr>
        <w:t xml:space="preserve">דיונים בתיק התקיימו במועדים: ביום 11.7.21, וביום 4.10.21, כאשר בדיון האחרון הגיעו הצדדים להסכמה דיונית לפיה יוגשו על ידם סיכומים בכתב שעל סמכם יינתן פסק הדין. בסיום הדיון ניתנה החלטתי לפיה נקצבו מועדים להגשת סיכומים בכתב. </w:t>
      </w:r>
    </w:p>
    <w:p w:rsidR="00851280" w:rsidRPr="00F617EB" w:rsidRDefault="00851280" w:rsidP="00F617EB">
      <w:pPr>
        <w:pStyle w:val="ad"/>
        <w:spacing w:after="0" w:line="360" w:lineRule="auto"/>
        <w:ind w:left="283"/>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tl/>
        </w:rPr>
      </w:pPr>
      <w:r w:rsidRPr="00F617EB">
        <w:rPr>
          <w:rFonts w:ascii="David" w:hAnsi="David" w:cs="David"/>
          <w:sz w:val="24"/>
          <w:szCs w:val="24"/>
          <w:rtl/>
        </w:rPr>
        <w:t>משהוגשו סיכומי הצדדים, ניתן כעת פסק הדין.</w:t>
      </w:r>
    </w:p>
    <w:p w:rsidR="00851280" w:rsidRPr="00F617EB" w:rsidRDefault="00851280" w:rsidP="00F617EB">
      <w:pPr>
        <w:pStyle w:val="ad"/>
        <w:spacing w:after="0" w:line="360" w:lineRule="auto"/>
        <w:jc w:val="both"/>
        <w:rPr>
          <w:rFonts w:ascii="David" w:hAnsi="David" w:cs="David"/>
          <w:sz w:val="24"/>
          <w:szCs w:val="24"/>
        </w:rPr>
      </w:pPr>
    </w:p>
    <w:p w:rsidR="00851280" w:rsidRPr="00F617EB" w:rsidRDefault="00851280" w:rsidP="00F617EB">
      <w:pPr>
        <w:spacing w:line="360" w:lineRule="auto"/>
        <w:jc w:val="both"/>
        <w:rPr>
          <w:rFonts w:ascii="David" w:hAnsi="David"/>
          <w:b/>
          <w:bCs/>
          <w:u w:val="single"/>
          <w:rtl/>
        </w:rPr>
      </w:pPr>
      <w:r w:rsidRPr="00F617EB">
        <w:rPr>
          <w:rFonts w:ascii="David" w:hAnsi="David"/>
          <w:b/>
          <w:bCs/>
          <w:u w:val="single"/>
          <w:rtl/>
        </w:rPr>
        <w:t>טענות הצדדים:</w:t>
      </w:r>
    </w:p>
    <w:p w:rsidR="00851280" w:rsidRPr="00F617EB" w:rsidRDefault="00851280" w:rsidP="00F617EB">
      <w:pPr>
        <w:pStyle w:val="ad"/>
        <w:spacing w:after="0" w:line="360" w:lineRule="auto"/>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tl/>
        </w:rPr>
      </w:pPr>
      <w:r w:rsidRPr="00F617EB">
        <w:rPr>
          <w:rFonts w:ascii="David" w:hAnsi="David" w:cs="David"/>
          <w:sz w:val="24"/>
          <w:szCs w:val="24"/>
          <w:u w:val="single"/>
          <w:rtl/>
        </w:rPr>
        <w:t>לטענת התובעת (סעיפים 15-51 לסיכומיה)</w:t>
      </w:r>
      <w:r w:rsidRPr="00F617EB">
        <w:rPr>
          <w:rFonts w:ascii="David" w:hAnsi="David" w:cs="David"/>
          <w:sz w:val="24"/>
          <w:szCs w:val="24"/>
          <w:rtl/>
        </w:rPr>
        <w:t xml:space="preserve"> יש מקום לקבל את תביעתה לאור הנימוקים כדלקמן (סעיף 16 לסיכומיה):</w:t>
      </w:r>
    </w:p>
    <w:p w:rsidR="00851280" w:rsidRPr="00F617EB" w:rsidRDefault="00851280" w:rsidP="00F617EB">
      <w:pPr>
        <w:pStyle w:val="ad"/>
        <w:spacing w:after="0" w:line="360" w:lineRule="auto"/>
        <w:ind w:left="283"/>
        <w:jc w:val="both"/>
        <w:rPr>
          <w:rFonts w:ascii="David" w:hAnsi="David" w:cs="David"/>
          <w:sz w:val="24"/>
          <w:szCs w:val="24"/>
        </w:rPr>
      </w:pPr>
      <w:r w:rsidRPr="00F617EB">
        <w:rPr>
          <w:rFonts w:ascii="David" w:hAnsi="David" w:cs="David"/>
          <w:noProof/>
          <w:sz w:val="24"/>
          <w:szCs w:val="24"/>
        </w:rPr>
        <w:drawing>
          <wp:inline distT="0" distB="0" distL="0" distR="0">
            <wp:extent cx="5205340" cy="1116330"/>
            <wp:effectExtent l="0" t="0" r="0" b="762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914" cy="1116882"/>
                    </a:xfrm>
                    <a:prstGeom prst="rect">
                      <a:avLst/>
                    </a:prstGeom>
                    <a:noFill/>
                    <a:ln>
                      <a:noFill/>
                    </a:ln>
                  </pic:spPr>
                </pic:pic>
              </a:graphicData>
            </a:graphic>
          </wp:inline>
        </w:drawing>
      </w:r>
    </w:p>
    <w:p w:rsidR="00851280" w:rsidRPr="00F617EB" w:rsidRDefault="00851280" w:rsidP="00F617EB">
      <w:pPr>
        <w:pStyle w:val="ad"/>
        <w:spacing w:after="0" w:line="360" w:lineRule="auto"/>
        <w:ind w:left="283"/>
        <w:jc w:val="both"/>
        <w:rPr>
          <w:rFonts w:ascii="David" w:hAnsi="David" w:cs="David"/>
          <w:sz w:val="24"/>
          <w:szCs w:val="24"/>
        </w:rPr>
      </w:pPr>
      <w:r w:rsidRPr="00F617EB">
        <w:rPr>
          <w:rFonts w:ascii="David" w:hAnsi="David" w:cs="David"/>
          <w:sz w:val="24"/>
          <w:szCs w:val="24"/>
          <w:rtl/>
        </w:rPr>
        <w:t>וגם (סעיפים 21-22 לסיכומיה):</w:t>
      </w:r>
    </w:p>
    <w:p w:rsidR="00851280" w:rsidRPr="00F617EB" w:rsidRDefault="00851280" w:rsidP="00F617EB">
      <w:pPr>
        <w:pStyle w:val="ad"/>
        <w:spacing w:after="0" w:line="360" w:lineRule="auto"/>
        <w:ind w:left="283"/>
        <w:jc w:val="both"/>
        <w:rPr>
          <w:rFonts w:ascii="David" w:hAnsi="David" w:cs="David"/>
          <w:sz w:val="24"/>
          <w:szCs w:val="24"/>
          <w:rtl/>
        </w:rPr>
      </w:pPr>
      <w:r w:rsidRPr="00F617EB">
        <w:rPr>
          <w:rFonts w:ascii="David" w:hAnsi="David" w:cs="David"/>
          <w:noProof/>
          <w:sz w:val="24"/>
          <w:szCs w:val="24"/>
        </w:rPr>
        <w:lastRenderedPageBreak/>
        <w:drawing>
          <wp:inline distT="0" distB="0" distL="0" distR="0">
            <wp:extent cx="5117416" cy="1380490"/>
            <wp:effectExtent l="0" t="0" r="762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98" cy="1380701"/>
                    </a:xfrm>
                    <a:prstGeom prst="rect">
                      <a:avLst/>
                    </a:prstGeom>
                    <a:noFill/>
                    <a:ln>
                      <a:noFill/>
                    </a:ln>
                  </pic:spPr>
                </pic:pic>
              </a:graphicData>
            </a:graphic>
          </wp:inline>
        </w:drawing>
      </w:r>
    </w:p>
    <w:p w:rsidR="00851280" w:rsidRPr="00F617EB" w:rsidRDefault="00851280" w:rsidP="00F617EB">
      <w:pPr>
        <w:pStyle w:val="ad"/>
        <w:spacing w:after="0" w:line="360" w:lineRule="auto"/>
        <w:ind w:left="283"/>
        <w:jc w:val="both"/>
        <w:rPr>
          <w:rFonts w:ascii="David" w:hAnsi="David" w:cs="David"/>
          <w:noProof/>
          <w:sz w:val="24"/>
          <w:szCs w:val="24"/>
        </w:rPr>
      </w:pPr>
      <w:r w:rsidRPr="00F617EB">
        <w:rPr>
          <w:rFonts w:ascii="David" w:hAnsi="David" w:cs="David"/>
          <w:noProof/>
          <w:sz w:val="24"/>
          <w:szCs w:val="24"/>
          <w:rtl/>
        </w:rPr>
        <w:t>וכן (סעיפים 26-27 לסיכומי התובעת):</w:t>
      </w:r>
    </w:p>
    <w:p w:rsidR="00851280" w:rsidRPr="00F617EB" w:rsidRDefault="00851280" w:rsidP="00F617EB">
      <w:pPr>
        <w:pStyle w:val="ad"/>
        <w:spacing w:after="0" w:line="360" w:lineRule="auto"/>
        <w:ind w:left="283"/>
        <w:jc w:val="both"/>
        <w:rPr>
          <w:rFonts w:ascii="David" w:hAnsi="David" w:cs="David"/>
          <w:sz w:val="24"/>
          <w:szCs w:val="24"/>
          <w:rtl/>
        </w:rPr>
      </w:pPr>
      <w:r w:rsidRPr="00F617EB">
        <w:rPr>
          <w:rFonts w:ascii="David" w:hAnsi="David" w:cs="David"/>
          <w:noProof/>
          <w:sz w:val="24"/>
          <w:szCs w:val="24"/>
        </w:rPr>
        <w:drawing>
          <wp:inline distT="0" distB="0" distL="0" distR="0">
            <wp:extent cx="5196010" cy="1362710"/>
            <wp:effectExtent l="0" t="0" r="5080" b="889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7235" cy="1363031"/>
                    </a:xfrm>
                    <a:prstGeom prst="rect">
                      <a:avLst/>
                    </a:prstGeom>
                    <a:noFill/>
                    <a:ln>
                      <a:noFill/>
                    </a:ln>
                  </pic:spPr>
                </pic:pic>
              </a:graphicData>
            </a:graphic>
          </wp:inline>
        </w:drawing>
      </w:r>
    </w:p>
    <w:p w:rsidR="00851280" w:rsidRPr="00F617EB" w:rsidRDefault="00851280" w:rsidP="00F617EB">
      <w:pPr>
        <w:pStyle w:val="ad"/>
        <w:spacing w:after="0" w:line="360" w:lineRule="auto"/>
        <w:ind w:left="368"/>
        <w:jc w:val="both"/>
        <w:rPr>
          <w:rFonts w:ascii="David" w:hAnsi="David" w:cs="David"/>
          <w:sz w:val="24"/>
          <w:szCs w:val="24"/>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Pr>
      </w:pPr>
      <w:r w:rsidRPr="00F617EB">
        <w:rPr>
          <w:rFonts w:ascii="David" w:hAnsi="David" w:cs="David"/>
          <w:sz w:val="24"/>
          <w:szCs w:val="24"/>
          <w:u w:val="single"/>
          <w:rtl/>
        </w:rPr>
        <w:t>לטענת הנתבע</w:t>
      </w:r>
      <w:r w:rsidRPr="00F617EB">
        <w:rPr>
          <w:rFonts w:ascii="David" w:hAnsi="David" w:cs="David"/>
          <w:sz w:val="24"/>
          <w:szCs w:val="24"/>
          <w:rtl/>
        </w:rPr>
        <w:t>, יש מקום לדחות התובענה על הסף בשל הנימוקים כדלקמן (סעיפים 9-12 לסיכומיו):</w:t>
      </w:r>
    </w:p>
    <w:p w:rsidR="00851280" w:rsidRPr="00F617EB" w:rsidRDefault="00851280" w:rsidP="00F617EB">
      <w:pPr>
        <w:pStyle w:val="ad"/>
        <w:spacing w:after="0" w:line="360" w:lineRule="auto"/>
        <w:ind w:left="283"/>
        <w:jc w:val="both"/>
        <w:rPr>
          <w:rFonts w:ascii="David" w:hAnsi="David" w:cs="David"/>
          <w:sz w:val="24"/>
          <w:szCs w:val="24"/>
        </w:rPr>
      </w:pPr>
      <w:r w:rsidRPr="00F617EB">
        <w:rPr>
          <w:rFonts w:ascii="David" w:hAnsi="David" w:cs="David"/>
          <w:noProof/>
          <w:sz w:val="24"/>
          <w:szCs w:val="24"/>
        </w:rPr>
        <w:drawing>
          <wp:inline distT="0" distB="0" distL="0" distR="0">
            <wp:extent cx="5151755" cy="6096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5298" cy="610019"/>
                    </a:xfrm>
                    <a:prstGeom prst="rect">
                      <a:avLst/>
                    </a:prstGeom>
                    <a:noFill/>
                    <a:ln>
                      <a:noFill/>
                    </a:ln>
                  </pic:spPr>
                </pic:pic>
              </a:graphicData>
            </a:graphic>
          </wp:inline>
        </w:drawing>
      </w:r>
    </w:p>
    <w:p w:rsidR="00851280" w:rsidRPr="00F617EB" w:rsidRDefault="00851280" w:rsidP="00F617EB">
      <w:pPr>
        <w:spacing w:line="360" w:lineRule="auto"/>
        <w:ind w:left="283"/>
        <w:jc w:val="both"/>
        <w:rPr>
          <w:rFonts w:ascii="David" w:hAnsi="David"/>
          <w:b/>
          <w:bCs/>
          <w:u w:val="single"/>
        </w:rPr>
      </w:pPr>
      <w:r w:rsidRPr="00F617EB">
        <w:rPr>
          <w:rFonts w:ascii="David" w:hAnsi="David"/>
          <w:b/>
          <w:bCs/>
        </w:rPr>
        <w:drawing>
          <wp:inline distT="0" distB="0" distL="0" distR="0">
            <wp:extent cx="5152390" cy="65722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3770" cy="657401"/>
                    </a:xfrm>
                    <a:prstGeom prst="rect">
                      <a:avLst/>
                    </a:prstGeom>
                    <a:noFill/>
                    <a:ln>
                      <a:noFill/>
                    </a:ln>
                  </pic:spPr>
                </pic:pic>
              </a:graphicData>
            </a:graphic>
          </wp:inline>
        </w:drawing>
      </w:r>
    </w:p>
    <w:p w:rsidR="00851280" w:rsidRPr="00F617EB" w:rsidRDefault="00851280" w:rsidP="00F617EB">
      <w:pPr>
        <w:spacing w:line="360" w:lineRule="auto"/>
        <w:jc w:val="both"/>
        <w:rPr>
          <w:rFonts w:ascii="David" w:hAnsi="David"/>
          <w:b/>
          <w:bCs/>
          <w:u w:val="single"/>
          <w:rtl/>
        </w:rPr>
      </w:pPr>
    </w:p>
    <w:p w:rsidR="00851280" w:rsidRPr="00F617EB" w:rsidRDefault="00851280" w:rsidP="00F617EB">
      <w:pPr>
        <w:pStyle w:val="ad"/>
        <w:numPr>
          <w:ilvl w:val="0"/>
          <w:numId w:val="1"/>
        </w:numPr>
        <w:spacing w:after="0" w:line="360" w:lineRule="auto"/>
        <w:ind w:left="283"/>
        <w:jc w:val="both"/>
        <w:rPr>
          <w:rFonts w:ascii="David" w:hAnsi="David" w:cs="David"/>
          <w:sz w:val="24"/>
          <w:szCs w:val="24"/>
          <w:rtl/>
        </w:rPr>
      </w:pPr>
      <w:r w:rsidRPr="00F617EB">
        <w:rPr>
          <w:rFonts w:ascii="David" w:hAnsi="David" w:cs="David"/>
          <w:sz w:val="24"/>
          <w:szCs w:val="24"/>
          <w:rtl/>
        </w:rPr>
        <w:t>בנוסף, טען הנתבע כדלקמן (סעיפים 39-40 לסיכומיו):</w:t>
      </w:r>
    </w:p>
    <w:p w:rsidR="00851280" w:rsidRPr="00F617EB" w:rsidRDefault="00851280" w:rsidP="00F617EB">
      <w:pPr>
        <w:pStyle w:val="ad"/>
        <w:spacing w:after="0" w:line="360" w:lineRule="auto"/>
        <w:ind w:left="283"/>
        <w:jc w:val="both"/>
        <w:rPr>
          <w:rFonts w:ascii="David" w:hAnsi="David" w:cs="David"/>
          <w:b/>
          <w:bCs/>
          <w:sz w:val="24"/>
          <w:szCs w:val="24"/>
          <w:u w:val="single"/>
        </w:rPr>
      </w:pPr>
      <w:r w:rsidRPr="00F617EB">
        <w:rPr>
          <w:rFonts w:ascii="David" w:hAnsi="David" w:cs="David"/>
          <w:b/>
          <w:bCs/>
          <w:noProof/>
          <w:sz w:val="24"/>
          <w:szCs w:val="24"/>
        </w:rPr>
        <w:drawing>
          <wp:inline distT="0" distB="0" distL="0" distR="0">
            <wp:extent cx="5200015" cy="2019300"/>
            <wp:effectExtent l="0" t="0" r="63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05" cy="2019762"/>
                    </a:xfrm>
                    <a:prstGeom prst="rect">
                      <a:avLst/>
                    </a:prstGeom>
                    <a:noFill/>
                    <a:ln>
                      <a:noFill/>
                    </a:ln>
                  </pic:spPr>
                </pic:pic>
              </a:graphicData>
            </a:graphic>
          </wp:inline>
        </w:drawing>
      </w:r>
    </w:p>
    <w:p w:rsidR="00851280" w:rsidRPr="00F617EB" w:rsidRDefault="00851280" w:rsidP="00F617EB">
      <w:pPr>
        <w:pStyle w:val="ad"/>
        <w:spacing w:after="0" w:line="360" w:lineRule="auto"/>
        <w:jc w:val="both"/>
        <w:rPr>
          <w:rFonts w:ascii="David" w:hAnsi="David" w:cs="David"/>
          <w:b/>
          <w:bCs/>
          <w:sz w:val="24"/>
          <w:szCs w:val="24"/>
          <w:u w:val="single"/>
        </w:rPr>
      </w:pPr>
    </w:p>
    <w:p w:rsidR="00851280" w:rsidRPr="00F617EB" w:rsidRDefault="00851280" w:rsidP="00F617EB">
      <w:pPr>
        <w:spacing w:line="360" w:lineRule="auto"/>
        <w:jc w:val="both"/>
        <w:rPr>
          <w:rFonts w:ascii="David" w:hAnsi="David"/>
          <w:b/>
          <w:bCs/>
          <w:u w:val="single"/>
          <w:rtl/>
        </w:rPr>
      </w:pPr>
      <w:r w:rsidRPr="00F617EB">
        <w:rPr>
          <w:rFonts w:ascii="David" w:hAnsi="David"/>
          <w:b/>
          <w:bCs/>
          <w:u w:val="single"/>
          <w:rtl/>
        </w:rPr>
        <w:t>דיון והכרעה:</w:t>
      </w:r>
    </w:p>
    <w:p w:rsidR="00851280" w:rsidRPr="00F617EB" w:rsidRDefault="00851280" w:rsidP="00F617EB">
      <w:pPr>
        <w:spacing w:line="360" w:lineRule="auto"/>
        <w:jc w:val="both"/>
        <w:rPr>
          <w:rFonts w:ascii="David" w:hAnsi="David"/>
          <w:u w:val="single"/>
          <w:rtl/>
        </w:rPr>
      </w:pPr>
    </w:p>
    <w:p w:rsidR="00851280" w:rsidRPr="00F617EB" w:rsidRDefault="00F04E91" w:rsidP="00F617EB">
      <w:pPr>
        <w:pStyle w:val="ad"/>
        <w:numPr>
          <w:ilvl w:val="0"/>
          <w:numId w:val="1"/>
        </w:numPr>
        <w:spacing w:after="0" w:line="360" w:lineRule="auto"/>
        <w:ind w:left="283"/>
        <w:jc w:val="both"/>
        <w:rPr>
          <w:rFonts w:ascii="David" w:eastAsia="Times New Roman" w:hAnsi="David" w:cs="David"/>
          <w:sz w:val="24"/>
          <w:szCs w:val="24"/>
          <w:rtl/>
        </w:rPr>
      </w:pPr>
      <w:hyperlink r:id="rId14" w:history="1">
        <w:r w:rsidR="00851280" w:rsidRPr="00F617EB">
          <w:rPr>
            <w:rStyle w:val="Hyperlink"/>
            <w:rFonts w:ascii="David" w:eastAsia="Times New Roman" w:hAnsi="David" w:cs="David"/>
            <w:color w:val="auto"/>
            <w:sz w:val="24"/>
            <w:szCs w:val="24"/>
            <w:u w:val="none"/>
            <w:rtl/>
          </w:rPr>
          <w:t>סעיף 11</w:t>
        </w:r>
      </w:hyperlink>
      <w:r w:rsidR="00851280" w:rsidRPr="00F617EB">
        <w:rPr>
          <w:rFonts w:ascii="David" w:eastAsia="Times New Roman" w:hAnsi="David" w:cs="David"/>
          <w:sz w:val="24"/>
          <w:szCs w:val="24"/>
          <w:rtl/>
        </w:rPr>
        <w:t xml:space="preserve"> ל</w:t>
      </w:r>
      <w:hyperlink r:id="rId15" w:history="1">
        <w:r w:rsidR="00851280" w:rsidRPr="00F617EB">
          <w:rPr>
            <w:rStyle w:val="Hyperlink"/>
            <w:rFonts w:ascii="David" w:eastAsia="Times New Roman" w:hAnsi="David" w:cs="David"/>
            <w:color w:val="auto"/>
            <w:sz w:val="24"/>
            <w:szCs w:val="24"/>
            <w:u w:val="none"/>
            <w:rtl/>
          </w:rPr>
          <w:t>חוק לתיקון דיני משפחה (מזונות)</w:t>
        </w:r>
      </w:hyperlink>
      <w:r w:rsidR="00851280" w:rsidRPr="00F617EB">
        <w:rPr>
          <w:rFonts w:ascii="David" w:eastAsia="Times New Roman" w:hAnsi="David" w:cs="David"/>
          <w:sz w:val="24"/>
          <w:szCs w:val="24"/>
          <w:rtl/>
        </w:rPr>
        <w:t xml:space="preserve"> תשי"ט – 1959 (להלן "</w:t>
      </w:r>
      <w:r w:rsidR="00851280" w:rsidRPr="00F617EB">
        <w:rPr>
          <w:rFonts w:ascii="David" w:eastAsia="Times New Roman" w:hAnsi="David" w:cs="David"/>
          <w:b/>
          <w:bCs/>
          <w:sz w:val="24"/>
          <w:szCs w:val="24"/>
          <w:rtl/>
        </w:rPr>
        <w:t>חוק המזונות</w:t>
      </w:r>
      <w:r w:rsidR="00851280" w:rsidRPr="00F617EB">
        <w:rPr>
          <w:rFonts w:ascii="David" w:eastAsia="Times New Roman" w:hAnsi="David" w:cs="David"/>
          <w:sz w:val="24"/>
          <w:szCs w:val="24"/>
          <w:rtl/>
        </w:rPr>
        <w:t>") קובע כדלקמן:</w:t>
      </w:r>
    </w:p>
    <w:p w:rsidR="00851280" w:rsidRPr="00F617EB" w:rsidRDefault="00851280" w:rsidP="00F617EB">
      <w:pPr>
        <w:pStyle w:val="P000"/>
        <w:spacing w:before="0" w:line="360" w:lineRule="auto"/>
        <w:ind w:left="283"/>
        <w:rPr>
          <w:rStyle w:val="default"/>
          <w:rFonts w:ascii="David" w:hAnsi="David" w:cs="David"/>
          <w:b/>
          <w:bCs/>
          <w:sz w:val="24"/>
          <w:szCs w:val="24"/>
        </w:rPr>
      </w:pPr>
      <w:bookmarkStart w:id="0" w:name="Seif13"/>
      <w:bookmarkEnd w:id="0"/>
      <w:r w:rsidRPr="00F617EB">
        <w:rPr>
          <w:rStyle w:val="big-number"/>
          <w:rFonts w:ascii="David" w:hAnsi="David" w:cs="David"/>
          <w:b/>
          <w:bCs/>
          <w:sz w:val="24"/>
          <w:szCs w:val="24"/>
          <w:rtl/>
        </w:rPr>
        <w:t>"11</w:t>
      </w:r>
      <w:r w:rsidRPr="00F617EB">
        <w:rPr>
          <w:rStyle w:val="default"/>
          <w:rFonts w:ascii="David" w:hAnsi="David" w:cs="David"/>
          <w:b/>
          <w:bCs/>
          <w:sz w:val="24"/>
          <w:szCs w:val="24"/>
          <w:rtl/>
        </w:rPr>
        <w:t xml:space="preserve">. (א) תביעה למזונות שהוגשה כעבור יותר משנה לאחר התקופה שבעדה הם נתבעים, רשאי בית המשפט לדחותה בשל כך בלבד, אם לא ראה טעם סביר לאיחור. </w:t>
      </w:r>
    </w:p>
    <w:p w:rsidR="00851280" w:rsidRPr="00F617EB" w:rsidRDefault="00851280" w:rsidP="00F617EB">
      <w:pPr>
        <w:pStyle w:val="P000"/>
        <w:spacing w:before="0" w:line="360" w:lineRule="auto"/>
        <w:ind w:left="283"/>
        <w:rPr>
          <w:rStyle w:val="default"/>
          <w:rFonts w:ascii="David" w:hAnsi="David" w:cs="David"/>
          <w:b/>
          <w:bCs/>
          <w:sz w:val="24"/>
          <w:szCs w:val="24"/>
          <w:rtl/>
        </w:rPr>
      </w:pPr>
      <w:r w:rsidRPr="00F617EB">
        <w:rPr>
          <w:rStyle w:val="default"/>
          <w:rFonts w:ascii="David" w:hAnsi="David" w:cs="David"/>
          <w:b/>
          <w:bCs/>
          <w:sz w:val="24"/>
          <w:szCs w:val="24"/>
          <w:rtl/>
        </w:rPr>
        <w:t>(ב) מזונות שלא התחילו לפעול לגבייתם תוך שנתיים לאחר התקופה שבעדה הם נפסקו,</w:t>
      </w:r>
      <w:r w:rsidR="00895F14">
        <w:rPr>
          <w:rStyle w:val="default"/>
          <w:rFonts w:ascii="David" w:hAnsi="David" w:cs="David"/>
          <w:b/>
          <w:bCs/>
          <w:sz w:val="24"/>
          <w:szCs w:val="24"/>
          <w:rtl/>
        </w:rPr>
        <w:t xml:space="preserve"> אין לגבותם אלא ברשות בית המשפט</w:t>
      </w:r>
      <w:r w:rsidRPr="00F617EB">
        <w:rPr>
          <w:rStyle w:val="default"/>
          <w:rFonts w:ascii="David" w:hAnsi="David" w:cs="David"/>
          <w:b/>
          <w:bCs/>
          <w:sz w:val="24"/>
          <w:szCs w:val="24"/>
          <w:rtl/>
        </w:rPr>
        <w:t>"</w:t>
      </w:r>
      <w:r w:rsidR="00895F14">
        <w:rPr>
          <w:rStyle w:val="default"/>
          <w:rFonts w:ascii="David" w:hAnsi="David" w:cs="David" w:hint="cs"/>
          <w:b/>
          <w:bCs/>
          <w:sz w:val="24"/>
          <w:szCs w:val="24"/>
          <w:rtl/>
        </w:rPr>
        <w:t>.</w:t>
      </w:r>
    </w:p>
    <w:p w:rsidR="00851280" w:rsidRPr="00F617EB" w:rsidRDefault="00851280" w:rsidP="00F617EB">
      <w:pPr>
        <w:spacing w:line="360" w:lineRule="auto"/>
        <w:jc w:val="both"/>
        <w:rPr>
          <w:rFonts w:ascii="David" w:hAnsi="David"/>
          <w:rtl/>
        </w:rPr>
      </w:pPr>
    </w:p>
    <w:p w:rsidR="00851280" w:rsidRPr="00F617EB" w:rsidRDefault="00851280" w:rsidP="00F617EB">
      <w:pPr>
        <w:numPr>
          <w:ilvl w:val="0"/>
          <w:numId w:val="1"/>
        </w:numPr>
        <w:spacing w:line="360" w:lineRule="auto"/>
        <w:ind w:left="283"/>
        <w:contextualSpacing/>
        <w:jc w:val="both"/>
        <w:rPr>
          <w:rFonts w:ascii="David" w:hAnsi="David"/>
          <w:rtl/>
        </w:rPr>
      </w:pPr>
      <w:r w:rsidRPr="00F617EB">
        <w:rPr>
          <w:rFonts w:ascii="David" w:hAnsi="David"/>
          <w:rtl/>
        </w:rPr>
        <w:t xml:space="preserve">הוראת </w:t>
      </w:r>
      <w:hyperlink r:id="rId16" w:history="1">
        <w:r w:rsidRPr="00F617EB">
          <w:rPr>
            <w:rStyle w:val="Hyperlink"/>
            <w:rFonts w:ascii="David" w:hAnsi="David" w:cs="David"/>
            <w:color w:val="auto"/>
            <w:u w:val="none"/>
            <w:rtl/>
          </w:rPr>
          <w:t>סעיף 11 (ב) הנ"ל</w:t>
        </w:r>
      </w:hyperlink>
      <w:r w:rsidRPr="00F617EB">
        <w:rPr>
          <w:rFonts w:ascii="David" w:hAnsi="David"/>
          <w:rtl/>
        </w:rPr>
        <w:t xml:space="preserve"> קובעת כי כל מי שיבקש לגבות מזונות לאחר חלוף השנתיים מ</w:t>
      </w:r>
      <w:r w:rsidR="00895F14">
        <w:rPr>
          <w:rFonts w:ascii="David" w:hAnsi="David"/>
          <w:rtl/>
        </w:rPr>
        <w:t>יום מתן פסק הדין, להוכיח לבי</w:t>
      </w:r>
      <w:r w:rsidR="00895F14">
        <w:rPr>
          <w:rFonts w:ascii="David" w:hAnsi="David" w:hint="cs"/>
          <w:rtl/>
        </w:rPr>
        <w:t>ת המשפט</w:t>
      </w:r>
      <w:r w:rsidRPr="00F617EB">
        <w:rPr>
          <w:rFonts w:ascii="David" w:hAnsi="David"/>
          <w:rtl/>
        </w:rPr>
        <w:t xml:space="preserve"> את</w:t>
      </w:r>
      <w:r w:rsidR="00895F14">
        <w:rPr>
          <w:rFonts w:ascii="David" w:hAnsi="David"/>
          <w:rtl/>
        </w:rPr>
        <w:t xml:space="preserve"> סיבת העיכוב ו/או השיהוי בגביית</w:t>
      </w:r>
      <w:r w:rsidR="00895F14">
        <w:rPr>
          <w:rFonts w:ascii="David" w:hAnsi="David" w:hint="cs"/>
          <w:rtl/>
        </w:rPr>
        <w:t>ם</w:t>
      </w:r>
      <w:r w:rsidRPr="00F617EB">
        <w:rPr>
          <w:rFonts w:ascii="David" w:hAnsi="David"/>
          <w:rtl/>
        </w:rPr>
        <w:t xml:space="preserve"> (ראו: תמ"ש (י-ם) 63555-06-17 ד.פ נ' ר.פ [פורסם בנבו] (3.1.19), ו</w:t>
      </w:r>
      <w:hyperlink r:id="rId17" w:history="1">
        <w:r w:rsidRPr="00F617EB">
          <w:rPr>
            <w:rStyle w:val="Hyperlink"/>
            <w:rFonts w:ascii="David" w:hAnsi="David" w:cs="David"/>
            <w:color w:val="auto"/>
            <w:u w:val="none"/>
            <w:rtl/>
          </w:rPr>
          <w:t>תמ"ש (ת"א) 11529-07-16</w:t>
        </w:r>
      </w:hyperlink>
      <w:r w:rsidRPr="00F617EB">
        <w:rPr>
          <w:rFonts w:ascii="David" w:hAnsi="David"/>
          <w:rtl/>
        </w:rPr>
        <w:t xml:space="preserve">  א' ש' ק' נ' ו' ק' [פורסם בנבו] (19.11.16)). ככל שהת</w:t>
      </w:r>
      <w:r w:rsidR="00895F14">
        <w:rPr>
          <w:rFonts w:ascii="David" w:hAnsi="David"/>
          <w:rtl/>
        </w:rPr>
        <w:t>ובע מזונות מצליח לשכנע את בי</w:t>
      </w:r>
      <w:r w:rsidR="00895F14">
        <w:rPr>
          <w:rFonts w:ascii="David" w:hAnsi="David" w:hint="cs"/>
          <w:rtl/>
        </w:rPr>
        <w:t>ת המשפט</w:t>
      </w:r>
      <w:r w:rsidR="00895F14">
        <w:rPr>
          <w:rFonts w:ascii="David" w:hAnsi="David"/>
          <w:rtl/>
        </w:rPr>
        <w:t xml:space="preserve"> בסיבת השיהוי, יוכל בי</w:t>
      </w:r>
      <w:r w:rsidR="00895F14">
        <w:rPr>
          <w:rFonts w:ascii="David" w:hAnsi="David" w:hint="cs"/>
          <w:rtl/>
        </w:rPr>
        <w:t>ת המשפט</w:t>
      </w:r>
      <w:r w:rsidRPr="00F617EB">
        <w:rPr>
          <w:rFonts w:ascii="David" w:hAnsi="David"/>
          <w:rtl/>
        </w:rPr>
        <w:t xml:space="preserve"> ליתן אישור </w:t>
      </w:r>
      <w:r w:rsidR="00895F14">
        <w:rPr>
          <w:rFonts w:ascii="David" w:hAnsi="David"/>
          <w:rtl/>
        </w:rPr>
        <w:t>לגביית המזונות שלא הוחל בגביית</w:t>
      </w:r>
      <w:r w:rsidR="00895F14">
        <w:rPr>
          <w:rFonts w:ascii="David" w:hAnsi="David" w:hint="cs"/>
          <w:rtl/>
        </w:rPr>
        <w:t xml:space="preserve">ם </w:t>
      </w:r>
      <w:r w:rsidRPr="00F617EB">
        <w:rPr>
          <w:rFonts w:ascii="David" w:hAnsi="David"/>
          <w:rtl/>
        </w:rPr>
        <w:t xml:space="preserve">בחלוף שנתיים לאחר שניתן פסק הדין למזונות (ראו: </w:t>
      </w:r>
      <w:hyperlink r:id="rId18" w:history="1">
        <w:r w:rsidRPr="00F617EB">
          <w:rPr>
            <w:rStyle w:val="Hyperlink"/>
            <w:rFonts w:ascii="David" w:hAnsi="David" w:cs="David"/>
            <w:color w:val="auto"/>
            <w:u w:val="none"/>
            <w:rtl/>
          </w:rPr>
          <w:t>תמ"ש (נצ') 31035-07-16</w:t>
        </w:r>
      </w:hyperlink>
      <w:r w:rsidRPr="00F617EB">
        <w:rPr>
          <w:rFonts w:ascii="David" w:hAnsi="David"/>
          <w:rtl/>
        </w:rPr>
        <w:t xml:space="preserve"> ל.ש. נ' מ.ש [פורסם בנבו] (3.7.17)). </w:t>
      </w:r>
    </w:p>
    <w:p w:rsidR="00851280" w:rsidRPr="00F617EB" w:rsidRDefault="00851280" w:rsidP="00F617EB">
      <w:pPr>
        <w:pStyle w:val="ad"/>
        <w:spacing w:after="0" w:line="360" w:lineRule="auto"/>
        <w:ind w:left="368"/>
        <w:jc w:val="both"/>
        <w:rPr>
          <w:rFonts w:ascii="David" w:eastAsia="Times New Roman" w:hAnsi="David" w:cs="David"/>
          <w:noProof/>
          <w:sz w:val="24"/>
          <w:szCs w:val="24"/>
          <w:rtl/>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Pr>
      </w:pPr>
      <w:r w:rsidRPr="00F617EB">
        <w:rPr>
          <w:rFonts w:ascii="David" w:eastAsia="Times New Roman" w:hAnsi="David" w:cs="David"/>
          <w:noProof/>
          <w:sz w:val="24"/>
          <w:szCs w:val="24"/>
          <w:rtl/>
        </w:rPr>
        <w:t>במקרה דנן, לאחר שעיינתי בטענות הצדדים ושקלתי בדברים, הגעתי לכלל מסקנה כי יש להיעתר לבקשת התובעת. ואלו טעמיי.</w:t>
      </w:r>
    </w:p>
    <w:p w:rsidR="00851280" w:rsidRPr="00F617EB" w:rsidRDefault="00851280" w:rsidP="00F617EB">
      <w:pPr>
        <w:pStyle w:val="ad"/>
        <w:spacing w:after="0" w:line="360" w:lineRule="auto"/>
        <w:ind w:left="283"/>
        <w:jc w:val="both"/>
        <w:rPr>
          <w:rFonts w:ascii="David" w:eastAsia="Times New Roman" w:hAnsi="David" w:cs="David"/>
          <w:noProof/>
          <w:sz w:val="24"/>
          <w:szCs w:val="24"/>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tl/>
        </w:rPr>
      </w:pPr>
      <w:r w:rsidRPr="00F617EB">
        <w:rPr>
          <w:rFonts w:ascii="David" w:eastAsia="Times New Roman" w:hAnsi="David" w:cs="David"/>
          <w:noProof/>
          <w:sz w:val="24"/>
          <w:szCs w:val="24"/>
          <w:rtl/>
        </w:rPr>
        <w:t xml:space="preserve">מקבלת אני את עמדת התובעת. אכן, התובעת לא פנתה לגביית המזונות משנת 2016 (השנה בה הופסקו תשלומי המזונות מן המל"ל) ועד ליום 8.7.20 (המועד בו הוגשה הבקשה לראשונה לבית משפט זה, כנסקר לעיל) קרי כ-4 שנים, ואולם במהלך שנים אלו התמודדה התובעת לבדה מול גידול ופרנסת 3 ילדיה הקטינים. </w:t>
      </w:r>
    </w:p>
    <w:p w:rsidR="00851280" w:rsidRPr="00F617EB" w:rsidRDefault="00851280" w:rsidP="00F617EB">
      <w:pPr>
        <w:pStyle w:val="ad"/>
        <w:spacing w:after="0" w:line="360" w:lineRule="auto"/>
        <w:ind w:left="283"/>
        <w:jc w:val="both"/>
        <w:rPr>
          <w:rFonts w:ascii="David" w:eastAsia="Times New Roman" w:hAnsi="David" w:cs="David"/>
          <w:noProof/>
          <w:sz w:val="24"/>
          <w:szCs w:val="24"/>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tl/>
        </w:rPr>
      </w:pPr>
      <w:r w:rsidRPr="00F617EB">
        <w:rPr>
          <w:rFonts w:ascii="David" w:eastAsia="Times New Roman" w:hAnsi="David" w:cs="David"/>
          <w:noProof/>
          <w:sz w:val="24"/>
          <w:szCs w:val="24"/>
          <w:rtl/>
        </w:rPr>
        <w:t>לא למותר לציין כי הנתבע אינו מצוי בקשר עם בנו הקטין. לטענת הנתבע, הסיבה נעוצה בהתנהלות התובעת, ואולם הנתבע לא פנה לבית המשפט בבקשה/תובענה לחידוש הקשר עם בנו.</w:t>
      </w:r>
    </w:p>
    <w:p w:rsidR="00851280" w:rsidRPr="00F617EB" w:rsidRDefault="00851280" w:rsidP="00F617EB">
      <w:pPr>
        <w:pStyle w:val="ad"/>
        <w:spacing w:after="0" w:line="360" w:lineRule="auto"/>
        <w:ind w:left="283"/>
        <w:jc w:val="both"/>
        <w:rPr>
          <w:rFonts w:ascii="David" w:eastAsia="Times New Roman" w:hAnsi="David" w:cs="David"/>
          <w:noProof/>
          <w:sz w:val="24"/>
          <w:szCs w:val="24"/>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tl/>
        </w:rPr>
      </w:pPr>
      <w:r w:rsidRPr="00F617EB">
        <w:rPr>
          <w:rFonts w:ascii="David" w:eastAsia="Times New Roman" w:hAnsi="David" w:cs="David"/>
          <w:noProof/>
          <w:sz w:val="24"/>
          <w:szCs w:val="24"/>
          <w:rtl/>
        </w:rPr>
        <w:t>בית המשפט התרשם כי אכן, כנטען על ידי התובעת, במצבה של התובעת, אשר התמודדה עם טיפול ופרנסת 3 ילדיה הקטינים, ללא כל סיוע מצד הנתבע, יש מקום להבין מהו מקור האיחור בגביית המזונות, אשר אינו תולדה של ויתור.</w:t>
      </w:r>
    </w:p>
    <w:p w:rsidR="00851280" w:rsidRPr="00F617EB" w:rsidRDefault="00851280" w:rsidP="00F617EB">
      <w:pPr>
        <w:pStyle w:val="ad"/>
        <w:spacing w:after="0" w:line="360" w:lineRule="auto"/>
        <w:jc w:val="both"/>
        <w:rPr>
          <w:rFonts w:ascii="David" w:eastAsia="Times New Roman" w:hAnsi="David" w:cs="David"/>
          <w:noProof/>
          <w:sz w:val="24"/>
          <w:szCs w:val="24"/>
        </w:rPr>
      </w:pPr>
    </w:p>
    <w:p w:rsidR="008E05DD" w:rsidRPr="00F617EB" w:rsidRDefault="008E05DD" w:rsidP="00F617EB">
      <w:pPr>
        <w:pStyle w:val="ad"/>
        <w:numPr>
          <w:ilvl w:val="0"/>
          <w:numId w:val="1"/>
        </w:numPr>
        <w:spacing w:after="0" w:line="360" w:lineRule="auto"/>
        <w:ind w:left="283"/>
        <w:jc w:val="both"/>
        <w:rPr>
          <w:rFonts w:ascii="David" w:eastAsia="Times New Roman" w:hAnsi="David" w:cs="David"/>
          <w:noProof/>
          <w:sz w:val="24"/>
          <w:szCs w:val="24"/>
        </w:rPr>
      </w:pPr>
      <w:r w:rsidRPr="00F617EB">
        <w:rPr>
          <w:rFonts w:ascii="David" w:eastAsia="Times New Roman" w:hAnsi="David" w:cs="David"/>
          <w:noProof/>
          <w:sz w:val="24"/>
          <w:szCs w:val="24"/>
          <w:rtl/>
        </w:rPr>
        <w:t xml:space="preserve">עוד ייאמר כי בית משפט זה ער לקושי </w:t>
      </w:r>
      <w:r w:rsidR="00656FBE" w:rsidRPr="00F617EB">
        <w:rPr>
          <w:rFonts w:ascii="David" w:eastAsia="Times New Roman" w:hAnsi="David" w:cs="David"/>
          <w:noProof/>
          <w:sz w:val="24"/>
          <w:szCs w:val="24"/>
          <w:rtl/>
        </w:rPr>
        <w:t xml:space="preserve">של יהודי עולי אתיופיה אשר אינם מודעים לזכויותיהם ו/או </w:t>
      </w:r>
      <w:r w:rsidR="00B57648" w:rsidRPr="00F617EB">
        <w:rPr>
          <w:rFonts w:ascii="David" w:eastAsia="Times New Roman" w:hAnsi="David" w:cs="David"/>
          <w:noProof/>
          <w:sz w:val="24"/>
          <w:szCs w:val="24"/>
          <w:rtl/>
        </w:rPr>
        <w:t>בעלי ק</w:t>
      </w:r>
      <w:r w:rsidR="00656FBE" w:rsidRPr="00F617EB">
        <w:rPr>
          <w:rFonts w:ascii="David" w:eastAsia="Times New Roman" w:hAnsi="David" w:cs="David"/>
          <w:noProof/>
          <w:sz w:val="24"/>
          <w:szCs w:val="24"/>
          <w:rtl/>
        </w:rPr>
        <w:t>שי</w:t>
      </w:r>
      <w:r w:rsidR="00B57648" w:rsidRPr="00F617EB">
        <w:rPr>
          <w:rFonts w:ascii="David" w:eastAsia="Times New Roman" w:hAnsi="David" w:cs="David"/>
          <w:noProof/>
          <w:sz w:val="24"/>
          <w:szCs w:val="24"/>
          <w:rtl/>
        </w:rPr>
        <w:t>י</w:t>
      </w:r>
      <w:r w:rsidR="00656FBE" w:rsidRPr="00F617EB">
        <w:rPr>
          <w:rFonts w:ascii="David" w:eastAsia="Times New Roman" w:hAnsi="David" w:cs="David"/>
          <w:noProof/>
          <w:sz w:val="24"/>
          <w:szCs w:val="24"/>
          <w:rtl/>
        </w:rPr>
        <w:t xml:space="preserve"> שפ</w:t>
      </w:r>
      <w:r w:rsidR="00B57648" w:rsidRPr="00F617EB">
        <w:rPr>
          <w:rFonts w:ascii="David" w:eastAsia="Times New Roman" w:hAnsi="David" w:cs="David"/>
          <w:noProof/>
          <w:sz w:val="24"/>
          <w:szCs w:val="24"/>
          <w:rtl/>
        </w:rPr>
        <w:t>ה</w:t>
      </w:r>
      <w:r w:rsidR="00656FBE" w:rsidRPr="00F617EB">
        <w:rPr>
          <w:rFonts w:ascii="David" w:eastAsia="Times New Roman" w:hAnsi="David" w:cs="David"/>
          <w:noProof/>
          <w:sz w:val="24"/>
          <w:szCs w:val="24"/>
          <w:rtl/>
        </w:rPr>
        <w:t xml:space="preserve"> וה</w:t>
      </w:r>
      <w:r w:rsidR="00895F14">
        <w:rPr>
          <w:rFonts w:ascii="David" w:eastAsia="Times New Roman" w:hAnsi="David" w:cs="David" w:hint="cs"/>
          <w:noProof/>
          <w:sz w:val="24"/>
          <w:szCs w:val="24"/>
          <w:rtl/>
        </w:rPr>
        <w:t>י</w:t>
      </w:r>
      <w:r w:rsidR="00656FBE" w:rsidRPr="00F617EB">
        <w:rPr>
          <w:rFonts w:ascii="David" w:eastAsia="Times New Roman" w:hAnsi="David" w:cs="David"/>
          <w:noProof/>
          <w:sz w:val="24"/>
          <w:szCs w:val="24"/>
          <w:rtl/>
        </w:rPr>
        <w:t xml:space="preserve">עדר התמצאות לצורך ביצוע פעולות למיצוי זכויותיהם, מצב דברים אשר </w:t>
      </w:r>
      <w:r w:rsidR="00656FBE" w:rsidRPr="00F617EB">
        <w:rPr>
          <w:rFonts w:ascii="David" w:eastAsia="Times New Roman" w:hAnsi="David" w:cs="David"/>
          <w:noProof/>
          <w:sz w:val="24"/>
          <w:szCs w:val="24"/>
          <w:rtl/>
        </w:rPr>
        <w:lastRenderedPageBreak/>
        <w:t>מביא לכך כי פעמים רבות הם "נופלים בין הכיסאות" (כנטען על ידי ב"כ התובעת בסעיף 28 לסיכומי התובעת).</w:t>
      </w:r>
    </w:p>
    <w:p w:rsidR="008E05DD" w:rsidRPr="00F617EB" w:rsidRDefault="008E05DD" w:rsidP="00F617EB">
      <w:pPr>
        <w:pStyle w:val="ad"/>
        <w:spacing w:after="0" w:line="360" w:lineRule="auto"/>
        <w:jc w:val="both"/>
        <w:rPr>
          <w:rFonts w:ascii="David" w:eastAsia="Times New Roman" w:hAnsi="David" w:cs="David"/>
          <w:noProof/>
          <w:sz w:val="24"/>
          <w:szCs w:val="24"/>
          <w:rtl/>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Pr>
      </w:pPr>
      <w:r w:rsidRPr="00F617EB">
        <w:rPr>
          <w:rFonts w:ascii="David" w:eastAsia="Times New Roman" w:hAnsi="David" w:cs="David"/>
          <w:noProof/>
          <w:sz w:val="24"/>
          <w:szCs w:val="24"/>
          <w:rtl/>
        </w:rPr>
        <w:t>אין חולק כי נסיבות חייה של התובעת בשנים האחרונות, להשקפת בית משפט זה, מהוות נסיבות המצדיקות את האיחור בפתיחת תיק ההוצל"פ, ומהוות ה</w:t>
      </w:r>
      <w:r w:rsidR="00895F14">
        <w:rPr>
          <w:rFonts w:ascii="David" w:eastAsia="Times New Roman" w:hAnsi="David" w:cs="David"/>
          <w:noProof/>
          <w:sz w:val="24"/>
          <w:szCs w:val="24"/>
          <w:rtl/>
        </w:rPr>
        <w:t>סבר סביר המניח את הדעת. לכל אל</w:t>
      </w:r>
      <w:r w:rsidR="00895F14">
        <w:rPr>
          <w:rFonts w:ascii="David" w:eastAsia="Times New Roman" w:hAnsi="David" w:cs="David" w:hint="cs"/>
          <w:noProof/>
          <w:sz w:val="24"/>
          <w:szCs w:val="24"/>
          <w:rtl/>
        </w:rPr>
        <w:t xml:space="preserve">ה </w:t>
      </w:r>
      <w:r w:rsidRPr="00F617EB">
        <w:rPr>
          <w:rFonts w:ascii="David" w:eastAsia="Times New Roman" w:hAnsi="David" w:cs="David"/>
          <w:noProof/>
          <w:sz w:val="24"/>
          <w:szCs w:val="24"/>
          <w:rtl/>
        </w:rPr>
        <w:t xml:space="preserve">יש להוסיף את </w:t>
      </w:r>
      <w:r w:rsidR="00895F14">
        <w:rPr>
          <w:rFonts w:ascii="David" w:eastAsia="Times New Roman" w:hAnsi="David" w:cs="David"/>
          <w:noProof/>
          <w:sz w:val="24"/>
          <w:szCs w:val="24"/>
          <w:rtl/>
        </w:rPr>
        <w:t>עיקרון הבסיס עליו עמד כב' הש</w:t>
      </w:r>
      <w:r w:rsidR="00895F14">
        <w:rPr>
          <w:rFonts w:ascii="David" w:eastAsia="Times New Roman" w:hAnsi="David" w:cs="David" w:hint="cs"/>
          <w:noProof/>
          <w:sz w:val="24"/>
          <w:szCs w:val="24"/>
          <w:rtl/>
        </w:rPr>
        <w:t>ופט ניצן</w:t>
      </w:r>
      <w:r w:rsidRPr="00F617EB">
        <w:rPr>
          <w:rFonts w:ascii="David" w:eastAsia="Times New Roman" w:hAnsi="David" w:cs="David"/>
          <w:noProof/>
          <w:sz w:val="24"/>
          <w:szCs w:val="24"/>
          <w:rtl/>
        </w:rPr>
        <w:t xml:space="preserve"> סילמן בע"ר (קר') 44163-12-15 פלונית נ' פלוני [פורסם בנבו] (17.1.16) בפסקה 17 לפסק הדין</w:t>
      </w:r>
      <w:r w:rsidRPr="00F617EB">
        <w:rPr>
          <w:rFonts w:ascii="David" w:eastAsia="Times New Roman" w:hAnsi="David" w:cs="David"/>
          <w:b/>
          <w:bCs/>
          <w:noProof/>
          <w:sz w:val="24"/>
          <w:szCs w:val="24"/>
          <w:rtl/>
        </w:rPr>
        <w:t>:"</w:t>
      </w:r>
      <w:r w:rsidRPr="00F617EB">
        <w:rPr>
          <w:rFonts w:ascii="David" w:hAnsi="David" w:cs="David"/>
          <w:b/>
          <w:bCs/>
          <w:sz w:val="24"/>
          <w:szCs w:val="24"/>
          <w:rtl/>
        </w:rPr>
        <w:t>...אדם אשר זכה בדינו, רשאי לממש זכייתו, ויש להקל עליו המימוש ככל האפשר"</w:t>
      </w:r>
      <w:r w:rsidRPr="00F617EB">
        <w:rPr>
          <w:rFonts w:ascii="David" w:hAnsi="David" w:cs="David"/>
          <w:sz w:val="24"/>
          <w:szCs w:val="24"/>
          <w:rtl/>
        </w:rPr>
        <w:t xml:space="preserve">. </w:t>
      </w:r>
      <w:r w:rsidRPr="00F617EB">
        <w:rPr>
          <w:rFonts w:ascii="David" w:eastAsia="Times New Roman" w:hAnsi="David" w:cs="David"/>
          <w:noProof/>
          <w:sz w:val="24"/>
          <w:szCs w:val="24"/>
          <w:rtl/>
        </w:rPr>
        <w:t>לפיכך, אני סבורה כי יש מקום לאשר את גביית המזונות אף לאחר שהתובעת לא פעלה לגבייתם בתקופה כאמור.</w:t>
      </w:r>
    </w:p>
    <w:p w:rsidR="008E05DD" w:rsidRPr="00F617EB" w:rsidRDefault="008E05DD" w:rsidP="00F617EB">
      <w:pPr>
        <w:pStyle w:val="ad"/>
        <w:spacing w:after="0" w:line="360" w:lineRule="auto"/>
        <w:jc w:val="both"/>
        <w:rPr>
          <w:rFonts w:ascii="David" w:eastAsia="Times New Roman" w:hAnsi="David" w:cs="David"/>
          <w:noProof/>
          <w:sz w:val="24"/>
          <w:szCs w:val="24"/>
          <w:rtl/>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tl/>
        </w:rPr>
      </w:pPr>
      <w:r w:rsidRPr="00F617EB">
        <w:rPr>
          <w:rFonts w:ascii="David" w:eastAsia="Times New Roman" w:hAnsi="David" w:cs="David"/>
          <w:noProof/>
          <w:sz w:val="24"/>
          <w:szCs w:val="24"/>
          <w:rtl/>
        </w:rPr>
        <w:t>למעלה מן הצורך, ייאמר כי אינ</w:t>
      </w:r>
      <w:r w:rsidR="00895F14">
        <w:rPr>
          <w:rFonts w:ascii="David" w:eastAsia="Times New Roman" w:hAnsi="David" w:cs="David" w:hint="cs"/>
          <w:noProof/>
          <w:sz w:val="24"/>
          <w:szCs w:val="24"/>
          <w:rtl/>
        </w:rPr>
        <w:t>נ</w:t>
      </w:r>
      <w:r w:rsidR="00895F14">
        <w:rPr>
          <w:rFonts w:ascii="David" w:eastAsia="Times New Roman" w:hAnsi="David" w:cs="David"/>
          <w:noProof/>
          <w:sz w:val="24"/>
          <w:szCs w:val="24"/>
          <w:rtl/>
        </w:rPr>
        <w:t xml:space="preserve">י סבורה </w:t>
      </w:r>
      <w:r w:rsidR="00895F14">
        <w:rPr>
          <w:rFonts w:ascii="David" w:eastAsia="Times New Roman" w:hAnsi="David" w:cs="David" w:hint="cs"/>
          <w:noProof/>
          <w:sz w:val="24"/>
          <w:szCs w:val="24"/>
          <w:rtl/>
        </w:rPr>
        <w:t>ש</w:t>
      </w:r>
      <w:r w:rsidRPr="00F617EB">
        <w:rPr>
          <w:rFonts w:ascii="David" w:eastAsia="Times New Roman" w:hAnsi="David" w:cs="David"/>
          <w:noProof/>
          <w:sz w:val="24"/>
          <w:szCs w:val="24"/>
          <w:rtl/>
        </w:rPr>
        <w:t>יש מקום להידרש לטענות הנתבע לעניין מצבו הכלכלי במסגרת הליך זה, העוסק בעתירת התובעת לגביית מזונות העבר. ככל והנתבע עומד על טענותיו, עליו לנקוט בהליך חדש ומתאים לעני</w:t>
      </w:r>
      <w:r w:rsidR="00895F14">
        <w:rPr>
          <w:rFonts w:ascii="David" w:eastAsia="Times New Roman" w:hAnsi="David" w:cs="David" w:hint="cs"/>
          <w:noProof/>
          <w:sz w:val="24"/>
          <w:szCs w:val="24"/>
          <w:rtl/>
        </w:rPr>
        <w:t>י</w:t>
      </w:r>
      <w:r w:rsidRPr="00F617EB">
        <w:rPr>
          <w:rFonts w:ascii="David" w:eastAsia="Times New Roman" w:hAnsi="David" w:cs="David"/>
          <w:noProof/>
          <w:sz w:val="24"/>
          <w:szCs w:val="24"/>
          <w:rtl/>
        </w:rPr>
        <w:t xml:space="preserve">ן זה. </w:t>
      </w:r>
    </w:p>
    <w:p w:rsidR="00851280" w:rsidRPr="00F617EB" w:rsidRDefault="00851280" w:rsidP="00F617EB">
      <w:pPr>
        <w:pStyle w:val="ad"/>
        <w:spacing w:after="0" w:line="360" w:lineRule="auto"/>
        <w:jc w:val="both"/>
        <w:rPr>
          <w:rFonts w:ascii="David" w:eastAsia="Times New Roman" w:hAnsi="David" w:cs="David"/>
          <w:noProof/>
          <w:sz w:val="24"/>
          <w:szCs w:val="24"/>
        </w:rPr>
      </w:pPr>
    </w:p>
    <w:p w:rsidR="00851280" w:rsidRPr="00F617EB" w:rsidRDefault="00851280" w:rsidP="00F617EB">
      <w:pPr>
        <w:spacing w:line="360" w:lineRule="auto"/>
        <w:jc w:val="both"/>
        <w:rPr>
          <w:rFonts w:ascii="David" w:hAnsi="David"/>
          <w:b/>
          <w:bCs/>
          <w:u w:val="single"/>
          <w:rtl/>
        </w:rPr>
      </w:pPr>
      <w:r w:rsidRPr="00F617EB">
        <w:rPr>
          <w:rFonts w:ascii="David" w:hAnsi="David"/>
          <w:b/>
          <w:bCs/>
          <w:u w:val="single"/>
          <w:rtl/>
        </w:rPr>
        <w:t>סיכומו של עניין:</w:t>
      </w:r>
    </w:p>
    <w:p w:rsidR="00851280" w:rsidRPr="00F617EB" w:rsidRDefault="00851280" w:rsidP="00F617EB">
      <w:pPr>
        <w:pStyle w:val="ad"/>
        <w:spacing w:after="0" w:line="360" w:lineRule="auto"/>
        <w:jc w:val="both"/>
        <w:rPr>
          <w:rFonts w:ascii="David" w:eastAsia="Times New Roman" w:hAnsi="David" w:cs="David"/>
          <w:noProof/>
          <w:sz w:val="24"/>
          <w:szCs w:val="24"/>
        </w:rPr>
      </w:pPr>
    </w:p>
    <w:p w:rsidR="00851280" w:rsidRPr="00F617EB" w:rsidRDefault="00895F14" w:rsidP="00F617EB">
      <w:pPr>
        <w:pStyle w:val="ad"/>
        <w:numPr>
          <w:ilvl w:val="0"/>
          <w:numId w:val="1"/>
        </w:numPr>
        <w:spacing w:after="0" w:line="360" w:lineRule="auto"/>
        <w:ind w:left="283"/>
        <w:jc w:val="both"/>
        <w:rPr>
          <w:rFonts w:ascii="David" w:eastAsia="Times New Roman" w:hAnsi="David" w:cs="David"/>
          <w:noProof/>
          <w:sz w:val="24"/>
          <w:szCs w:val="24"/>
          <w:rtl/>
        </w:rPr>
      </w:pPr>
      <w:r>
        <w:rPr>
          <w:rFonts w:ascii="David" w:eastAsia="Times New Roman" w:hAnsi="David" w:cs="David" w:hint="cs"/>
          <w:noProof/>
          <w:sz w:val="24"/>
          <w:szCs w:val="24"/>
          <w:rtl/>
        </w:rPr>
        <w:t xml:space="preserve">אשר </w:t>
      </w:r>
      <w:r w:rsidR="00851280" w:rsidRPr="00F617EB">
        <w:rPr>
          <w:rFonts w:ascii="David" w:eastAsia="Times New Roman" w:hAnsi="David" w:cs="David"/>
          <w:noProof/>
          <w:sz w:val="24"/>
          <w:szCs w:val="24"/>
          <w:rtl/>
        </w:rPr>
        <w:t xml:space="preserve">על כן, נוכח מכלול הטעמים אשר פורטו לעיל, ניתן בזאת אישור לתובעת לפעול לגביית דמי המזונות שנפסקו בפסק הדין מיום </w:t>
      </w:r>
      <w:r w:rsidR="00851280" w:rsidRPr="00F617EB">
        <w:rPr>
          <w:rFonts w:ascii="David" w:hAnsi="David" w:cs="David"/>
          <w:sz w:val="24"/>
          <w:szCs w:val="24"/>
          <w:rtl/>
        </w:rPr>
        <w:t>10.7.12</w:t>
      </w:r>
      <w:r w:rsidR="00851280" w:rsidRPr="00F617EB">
        <w:rPr>
          <w:rFonts w:ascii="David" w:eastAsia="Times New Roman" w:hAnsi="David" w:cs="David"/>
          <w:noProof/>
          <w:sz w:val="24"/>
          <w:szCs w:val="24"/>
          <w:rtl/>
        </w:rPr>
        <w:t>.</w:t>
      </w:r>
    </w:p>
    <w:p w:rsidR="00851280" w:rsidRPr="00F617EB" w:rsidRDefault="00851280" w:rsidP="00F617EB">
      <w:pPr>
        <w:pStyle w:val="ad"/>
        <w:spacing w:after="0" w:line="360" w:lineRule="auto"/>
        <w:ind w:left="283"/>
        <w:jc w:val="both"/>
        <w:rPr>
          <w:rFonts w:ascii="David" w:eastAsia="Times New Roman" w:hAnsi="David" w:cs="David"/>
          <w:noProof/>
          <w:sz w:val="24"/>
          <w:szCs w:val="24"/>
        </w:rPr>
      </w:pPr>
    </w:p>
    <w:p w:rsidR="00851280" w:rsidRPr="00F617EB" w:rsidRDefault="00851280" w:rsidP="00F617EB">
      <w:pPr>
        <w:pStyle w:val="ad"/>
        <w:numPr>
          <w:ilvl w:val="0"/>
          <w:numId w:val="1"/>
        </w:numPr>
        <w:spacing w:after="0" w:line="360" w:lineRule="auto"/>
        <w:ind w:left="283"/>
        <w:jc w:val="both"/>
        <w:rPr>
          <w:rFonts w:ascii="David" w:eastAsia="Times New Roman" w:hAnsi="David" w:cs="David"/>
          <w:noProof/>
          <w:sz w:val="24"/>
          <w:szCs w:val="24"/>
        </w:rPr>
      </w:pPr>
      <w:r w:rsidRPr="00F617EB">
        <w:rPr>
          <w:rFonts w:ascii="David" w:eastAsia="Times New Roman" w:hAnsi="David" w:cs="David"/>
          <w:noProof/>
          <w:sz w:val="24"/>
          <w:szCs w:val="24"/>
          <w:rtl/>
        </w:rPr>
        <w:t xml:space="preserve">בנסיבות, ולאור ההסכמה הדיונית אליה הגיעו הצדדים (כנסקר לעיל) </w:t>
      </w:r>
      <w:r w:rsidR="002B3BFF">
        <w:rPr>
          <w:rFonts w:ascii="David" w:eastAsia="Times New Roman" w:hAnsi="David" w:cs="David" w:hint="cs"/>
          <w:noProof/>
          <w:sz w:val="24"/>
          <w:szCs w:val="24"/>
          <w:rtl/>
        </w:rPr>
        <w:t xml:space="preserve">ובהיות שני הצדדים מיוצגים באמצעות הלשכה לסיוע משפטי, </w:t>
      </w:r>
      <w:r w:rsidRPr="00F617EB">
        <w:rPr>
          <w:rFonts w:ascii="David" w:eastAsia="Times New Roman" w:hAnsi="David" w:cs="David"/>
          <w:noProof/>
          <w:sz w:val="24"/>
          <w:szCs w:val="24"/>
          <w:rtl/>
        </w:rPr>
        <w:t xml:space="preserve">אין צו </w:t>
      </w:r>
      <w:r w:rsidR="00895F14">
        <w:rPr>
          <w:rFonts w:ascii="David" w:eastAsia="Times New Roman" w:hAnsi="David" w:cs="David"/>
          <w:noProof/>
          <w:sz w:val="24"/>
          <w:szCs w:val="24"/>
          <w:rtl/>
        </w:rPr>
        <w:t>להוצאות</w:t>
      </w:r>
      <w:r w:rsidR="00895F14">
        <w:rPr>
          <w:rFonts w:ascii="David" w:eastAsia="Times New Roman" w:hAnsi="David" w:cs="David" w:hint="cs"/>
          <w:noProof/>
          <w:sz w:val="24"/>
          <w:szCs w:val="24"/>
          <w:rtl/>
        </w:rPr>
        <w:t xml:space="preserve"> וכל צד יישא בהוצא</w:t>
      </w:r>
      <w:r w:rsidR="00782462">
        <w:rPr>
          <w:rFonts w:ascii="David" w:eastAsia="Times New Roman" w:hAnsi="David" w:cs="David" w:hint="cs"/>
          <w:noProof/>
          <w:sz w:val="24"/>
          <w:szCs w:val="24"/>
          <w:rtl/>
        </w:rPr>
        <w:t>ותיו.</w:t>
      </w:r>
    </w:p>
    <w:p w:rsidR="00851280" w:rsidRPr="00F617EB" w:rsidRDefault="00851280" w:rsidP="00F617EB">
      <w:pPr>
        <w:pStyle w:val="ad"/>
        <w:spacing w:after="0" w:line="360" w:lineRule="auto"/>
        <w:jc w:val="both"/>
        <w:rPr>
          <w:rFonts w:ascii="David" w:eastAsia="Times New Roman" w:hAnsi="David" w:cs="David"/>
          <w:noProof/>
          <w:sz w:val="24"/>
          <w:szCs w:val="24"/>
        </w:rPr>
      </w:pPr>
    </w:p>
    <w:p w:rsidR="008E05DD" w:rsidRPr="00F617EB" w:rsidRDefault="00851280" w:rsidP="00F617EB">
      <w:pPr>
        <w:spacing w:line="360" w:lineRule="auto"/>
        <w:ind w:left="-142"/>
        <w:jc w:val="both"/>
        <w:rPr>
          <w:rFonts w:ascii="David" w:hAnsi="David"/>
          <w:b/>
          <w:bCs/>
          <w:u w:val="single"/>
          <w:rtl/>
        </w:rPr>
      </w:pPr>
      <w:r w:rsidRPr="00F617EB">
        <w:rPr>
          <w:rFonts w:ascii="David" w:hAnsi="David"/>
          <w:b/>
          <w:bCs/>
          <w:u w:val="single"/>
          <w:rtl/>
        </w:rPr>
        <w:t>המזכירות תמציא</w:t>
      </w:r>
      <w:r w:rsidR="00782462">
        <w:rPr>
          <w:rFonts w:ascii="David" w:hAnsi="David"/>
          <w:b/>
          <w:bCs/>
          <w:u w:val="single"/>
          <w:rtl/>
        </w:rPr>
        <w:t xml:space="preserve"> פסק הדין לב"כ הצדדים ותסגור התיק</w:t>
      </w:r>
      <w:r w:rsidRPr="00F617EB">
        <w:rPr>
          <w:rFonts w:ascii="David" w:hAnsi="David"/>
          <w:b/>
          <w:bCs/>
          <w:u w:val="single"/>
          <w:rtl/>
        </w:rPr>
        <w:t>.</w:t>
      </w:r>
    </w:p>
    <w:p w:rsidR="008E05DD" w:rsidRPr="00F617EB" w:rsidRDefault="008E05DD" w:rsidP="00F617EB">
      <w:pPr>
        <w:spacing w:line="360" w:lineRule="auto"/>
        <w:ind w:left="-142"/>
        <w:jc w:val="both"/>
        <w:rPr>
          <w:rFonts w:ascii="David" w:hAnsi="David"/>
          <w:b/>
          <w:bCs/>
          <w:u w:val="single"/>
          <w:rtl/>
        </w:rPr>
      </w:pPr>
    </w:p>
    <w:p w:rsidR="00694556" w:rsidRPr="00F617EB" w:rsidRDefault="00005C8B" w:rsidP="00F617EB">
      <w:pPr>
        <w:spacing w:line="360" w:lineRule="auto"/>
        <w:ind w:left="-142"/>
        <w:jc w:val="both"/>
        <w:rPr>
          <w:rFonts w:ascii="David" w:hAnsi="David"/>
          <w:b/>
          <w:bCs/>
          <w:u w:val="single"/>
          <w:rtl/>
        </w:rPr>
      </w:pPr>
      <w:r w:rsidRPr="00F617EB">
        <w:rPr>
          <w:rFonts w:ascii="David" w:hAnsi="David"/>
          <w:noProof w:val="0"/>
          <w:rtl/>
        </w:rPr>
        <w:t xml:space="preserve">ניתן היום,  </w:t>
      </w:r>
      <w:sdt>
        <w:sdtPr>
          <w:rPr>
            <w:rFonts w:ascii="David" w:hAnsi="David"/>
            <w:rtl/>
          </w:rPr>
          <w:alias w:val="1455"/>
          <w:tag w:val="1455"/>
          <w:id w:val="242217728"/>
          <w:text w:multiLine="1"/>
        </w:sdtPr>
        <w:sdtEndPr/>
        <w:sdtContent>
          <w:r>
            <w:rPr>
              <w:rFonts w:ascii="David" w:hAnsi="David"/>
              <w:noProof w:val="0"/>
              <w:rtl/>
            </w:rPr>
            <w:t>ו' ניסן תשפ"ג</w:t>
          </w:r>
        </w:sdtContent>
      </w:sdt>
      <w:r w:rsidRPr="00F617EB">
        <w:rPr>
          <w:rFonts w:ascii="David" w:hAnsi="David"/>
          <w:noProof w:val="0"/>
          <w:rtl/>
        </w:rPr>
        <w:t xml:space="preserve">, </w:t>
      </w:r>
      <w:sdt>
        <w:sdtPr>
          <w:rPr>
            <w:rFonts w:ascii="David" w:hAnsi="David"/>
            <w:rtl/>
          </w:rPr>
          <w:alias w:val="1456"/>
          <w:tag w:val="1456"/>
          <w:id w:val="-1101635932"/>
          <w:text w:multiLine="1"/>
        </w:sdtPr>
        <w:sdtEndPr/>
        <w:sdtContent>
          <w:r>
            <w:rPr>
              <w:rFonts w:ascii="David" w:hAnsi="David"/>
              <w:noProof w:val="0"/>
              <w:rtl/>
            </w:rPr>
            <w:t>28 מרץ 2023</w:t>
          </w:r>
        </w:sdtContent>
      </w:sdt>
      <w:r w:rsidRPr="00F617EB">
        <w:rPr>
          <w:rFonts w:ascii="David" w:hAnsi="David"/>
          <w:noProof w:val="0"/>
          <w:rtl/>
        </w:rPr>
        <w:t>, בהעדר הצדדים.</w:t>
      </w:r>
    </w:p>
    <w:p w:rsidR="00851280" w:rsidRDefault="00851280" w:rsidP="00851280">
      <w:pPr>
        <w:spacing w:line="360" w:lineRule="auto"/>
        <w:jc w:val="both"/>
        <w:rPr>
          <w:rFonts w:ascii="Arial" w:hAnsi="Arial"/>
          <w:noProof w:val="0"/>
        </w:rPr>
      </w:pPr>
    </w:p>
    <w:p w:rsidR="00851280" w:rsidRDefault="00851280" w:rsidP="00851280">
      <w:pPr>
        <w:spacing w:line="360" w:lineRule="auto"/>
        <w:jc w:val="both"/>
        <w:rPr>
          <w:rFonts w:ascii="Arial" w:hAnsi="Arial"/>
          <w:noProof w:val="0"/>
          <w:rtl/>
        </w:rPr>
      </w:pPr>
    </w:p>
    <w:p w:rsidR="00851280" w:rsidRDefault="00851280" w:rsidP="00851280">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extent cx="1969770" cy="1177925"/>
            <wp:effectExtent l="0" t="0" r="0" b="317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9770" cy="1177925"/>
                    </a:xfrm>
                    <a:prstGeom prst="rect">
                      <a:avLst/>
                    </a:prstGeom>
                    <a:noFill/>
                    <a:ln>
                      <a:noFill/>
                    </a:ln>
                  </pic:spPr>
                </pic:pic>
              </a:graphicData>
            </a:graphic>
          </wp:inline>
        </w:drawing>
      </w:r>
    </w:p>
    <w:sectPr w:rsidR="00851280"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E91" w:rsidRDefault="00F04E91">
      <w:r>
        <w:separator/>
      </w:r>
    </w:p>
  </w:endnote>
  <w:endnote w:type="continuationSeparator" w:id="0">
    <w:p w:rsidR="00F04E91" w:rsidRDefault="00F0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EF" w:rsidRDefault="00C61B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61B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61BE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EF" w:rsidRDefault="00C61B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E91" w:rsidRDefault="00F04E91">
      <w:r>
        <w:separator/>
      </w:r>
    </w:p>
  </w:footnote>
  <w:footnote w:type="continuationSeparator" w:id="0">
    <w:p w:rsidR="00F04E91" w:rsidRDefault="00F0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EF" w:rsidRDefault="00C61B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04E91" w:rsidP="007C4A1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E44DDF">
                <w:rPr>
                  <w:b/>
                  <w:bCs/>
                  <w:noProof w:val="0"/>
                  <w:sz w:val="26"/>
                  <w:szCs w:val="26"/>
                  <w:rtl/>
                </w:rPr>
                <w:t>38934-02-21</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C4A11">
                <w:rPr>
                  <w:rFonts w:hint="cs"/>
                  <w:b/>
                  <w:bCs/>
                  <w:noProof w:val="0"/>
                  <w:sz w:val="26"/>
                  <w:szCs w:val="26"/>
                </w:rPr>
                <w:t>XXX</w:t>
              </w:r>
              <w:r w:rsidR="00E44DDF">
                <w:rPr>
                  <w:b/>
                  <w:bCs/>
                  <w:noProof w:val="0"/>
                  <w:sz w:val="26"/>
                  <w:szCs w:val="26"/>
                  <w:rtl/>
                </w:rPr>
                <w:t xml:space="preserve"> נ' </w:t>
              </w:r>
              <w:r w:rsidR="007C4A11">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EF" w:rsidRDefault="00C61B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B709D"/>
    <w:multiLevelType w:val="hybridMultilevel"/>
    <w:tmpl w:val="2774E4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600EA"/>
    <w:rsid w:val="00061E51"/>
    <w:rsid w:val="000C55F9"/>
    <w:rsid w:val="000D4A02"/>
    <w:rsid w:val="001072A9"/>
    <w:rsid w:val="00121F97"/>
    <w:rsid w:val="001277D7"/>
    <w:rsid w:val="00132017"/>
    <w:rsid w:val="0014234E"/>
    <w:rsid w:val="00145A87"/>
    <w:rsid w:val="001C4003"/>
    <w:rsid w:val="001F5474"/>
    <w:rsid w:val="00215049"/>
    <w:rsid w:val="002352F7"/>
    <w:rsid w:val="0027277D"/>
    <w:rsid w:val="002B3BFF"/>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5F5CC2"/>
    <w:rsid w:val="00612BD6"/>
    <w:rsid w:val="00622BAA"/>
    <w:rsid w:val="00625C89"/>
    <w:rsid w:val="00630D5C"/>
    <w:rsid w:val="00633C4F"/>
    <w:rsid w:val="00656FBE"/>
    <w:rsid w:val="00671BD5"/>
    <w:rsid w:val="006805C1"/>
    <w:rsid w:val="006816EC"/>
    <w:rsid w:val="00694556"/>
    <w:rsid w:val="006E1A53"/>
    <w:rsid w:val="007056AA"/>
    <w:rsid w:val="00733104"/>
    <w:rsid w:val="00744F41"/>
    <w:rsid w:val="00782462"/>
    <w:rsid w:val="00790C08"/>
    <w:rsid w:val="0079340B"/>
    <w:rsid w:val="007A24FE"/>
    <w:rsid w:val="007A35AA"/>
    <w:rsid w:val="007C4A11"/>
    <w:rsid w:val="007D7CF6"/>
    <w:rsid w:val="007F1048"/>
    <w:rsid w:val="00820005"/>
    <w:rsid w:val="00846D27"/>
    <w:rsid w:val="00851280"/>
    <w:rsid w:val="008610A7"/>
    <w:rsid w:val="00895F14"/>
    <w:rsid w:val="0089688D"/>
    <w:rsid w:val="008A34F0"/>
    <w:rsid w:val="008E05DD"/>
    <w:rsid w:val="008E1332"/>
    <w:rsid w:val="00903896"/>
    <w:rsid w:val="00927813"/>
    <w:rsid w:val="00944D13"/>
    <w:rsid w:val="00957C90"/>
    <w:rsid w:val="009B70F6"/>
    <w:rsid w:val="009C358E"/>
    <w:rsid w:val="009E0263"/>
    <w:rsid w:val="00A267CF"/>
    <w:rsid w:val="00A43458"/>
    <w:rsid w:val="00AC4E19"/>
    <w:rsid w:val="00AF1ED6"/>
    <w:rsid w:val="00B21839"/>
    <w:rsid w:val="00B32C61"/>
    <w:rsid w:val="00B368FE"/>
    <w:rsid w:val="00B57648"/>
    <w:rsid w:val="00B80CBD"/>
    <w:rsid w:val="00BC3369"/>
    <w:rsid w:val="00BE7745"/>
    <w:rsid w:val="00BF77EE"/>
    <w:rsid w:val="00C24B71"/>
    <w:rsid w:val="00C32E0F"/>
    <w:rsid w:val="00C42BF9"/>
    <w:rsid w:val="00C61BEF"/>
    <w:rsid w:val="00C7165D"/>
    <w:rsid w:val="00C83E56"/>
    <w:rsid w:val="00CC63CE"/>
    <w:rsid w:val="00D30E0D"/>
    <w:rsid w:val="00D319B3"/>
    <w:rsid w:val="00D32376"/>
    <w:rsid w:val="00D36A71"/>
    <w:rsid w:val="00D53924"/>
    <w:rsid w:val="00D60849"/>
    <w:rsid w:val="00D96D8C"/>
    <w:rsid w:val="00DA755B"/>
    <w:rsid w:val="00DD337E"/>
    <w:rsid w:val="00E00B6F"/>
    <w:rsid w:val="00E44DDF"/>
    <w:rsid w:val="00E54642"/>
    <w:rsid w:val="00E97908"/>
    <w:rsid w:val="00EA06A7"/>
    <w:rsid w:val="00EF3ED0"/>
    <w:rsid w:val="00F04E91"/>
    <w:rsid w:val="00F17E56"/>
    <w:rsid w:val="00F617EB"/>
    <w:rsid w:val="00F876F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uiPriority w:val="99"/>
    <w:semiHidden/>
    <w:unhideWhenUsed/>
    <w:rsid w:val="00851280"/>
    <w:rPr>
      <w:rFonts w:ascii="Times New Roman" w:hAnsi="Times New Roman" w:cs="Times New Roman" w:hint="default"/>
      <w:color w:val="0000FF"/>
      <w:u w:val="single"/>
    </w:rPr>
  </w:style>
  <w:style w:type="paragraph" w:styleId="ad">
    <w:name w:val="List Paragraph"/>
    <w:basedOn w:val="a"/>
    <w:uiPriority w:val="34"/>
    <w:qFormat/>
    <w:rsid w:val="00851280"/>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link w:val="P000"/>
    <w:locked/>
    <w:rsid w:val="00851280"/>
    <w:rPr>
      <w:rFonts w:cs="FrankRuehl"/>
      <w:noProof/>
      <w:szCs w:val="26"/>
      <w:lang w:eastAsia="he-IL"/>
    </w:rPr>
  </w:style>
  <w:style w:type="paragraph" w:customStyle="1" w:styleId="P000">
    <w:name w:val="P00"/>
    <w:link w:val="P00"/>
    <w:rsid w:val="0085128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character" w:customStyle="1" w:styleId="default">
    <w:name w:val="default"/>
    <w:rsid w:val="00851280"/>
    <w:rPr>
      <w:rFonts w:ascii="Times New Roman" w:hAnsi="Times New Roman" w:cs="Times New Roman" w:hint="default"/>
      <w:sz w:val="20"/>
      <w:szCs w:val="26"/>
    </w:rPr>
  </w:style>
  <w:style w:type="character" w:customStyle="1" w:styleId="big-number">
    <w:name w:val="big-number"/>
    <w:rsid w:val="00851280"/>
    <w:rPr>
      <w:rFonts w:ascii="Times New Roman" w:hAnsi="Times New Roman" w:cs="Miriam" w:hint="default"/>
      <w:sz w:val="20"/>
      <w:szCs w:val="32"/>
    </w:rPr>
  </w:style>
  <w:style w:type="character" w:customStyle="1" w:styleId="david-h1">
    <w:name w:val="david-h1"/>
    <w:basedOn w:val="a0"/>
    <w:rsid w:val="00851280"/>
    <w:rPr>
      <w:rFonts w:ascii="Times New Roman" w:hAnsi="Times New Roman" w:cs="Times New Roman" w:hint="default"/>
      <w:sz w:val="24"/>
      <w:szCs w:val="24"/>
    </w:rPr>
  </w:style>
  <w:style w:type="character" w:customStyle="1" w:styleId="normal-h">
    <w:name w:val="normal-h"/>
    <w:basedOn w:val="a0"/>
    <w:rsid w:val="0085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50235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828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www.nevo.co.il/case/2162642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nevo.co.il/case/21782459"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evo.co.il/law/71532/11.b"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evo.co.il/law/71532" TargetMode="External"/><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nevo.co.il/law/71532/11"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903</Words>
  <Characters>4519</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2023-10-10T11:34:00Z</dcterms:created>
  <dcterms:modified xsi:type="dcterms:W3CDTF">2023-10-10T11:34:00Z</dcterms:modified>
</cp:coreProperties>
</file>